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587"/>
        <w:gridCol w:w="4588"/>
      </w:tblGrid>
      <w:tr w:rsidR="004734CD" w14:paraId="5D1691D8" w14:textId="77777777" w:rsidTr="004734CD">
        <w:trPr>
          <w:jc w:val="center"/>
        </w:trPr>
        <w:tc>
          <w:tcPr>
            <w:tcW w:w="4587" w:type="dxa"/>
            <w:hideMark/>
          </w:tcPr>
          <w:p w14:paraId="3D21EBA3" w14:textId="77777777" w:rsidR="004734CD" w:rsidRDefault="004734CD">
            <w:r>
              <w:rPr>
                <w:sz w:val="16"/>
              </w:rPr>
              <w:t>(</w:t>
            </w:r>
            <w:r>
              <w:rPr>
                <w:noProof/>
                <w:sz w:val="16"/>
              </w:rPr>
              <w:t>1881</w:t>
            </w:r>
            <w:r>
              <w:rPr>
                <w:sz w:val="16"/>
              </w:rPr>
              <w:t>)</w:t>
            </w:r>
          </w:p>
        </w:tc>
        <w:tc>
          <w:tcPr>
            <w:tcW w:w="4588" w:type="dxa"/>
            <w:hideMark/>
          </w:tcPr>
          <w:p w14:paraId="59599784" w14:textId="77777777" w:rsidR="004734CD" w:rsidRDefault="004734CD">
            <w:pPr>
              <w:jc w:val="right"/>
              <w:rPr>
                <w:b/>
              </w:rPr>
            </w:pPr>
            <w:r>
              <w:rPr>
                <w:b/>
              </w:rPr>
              <w:t xml:space="preserve">SERIAL </w:t>
            </w:r>
            <w:r>
              <w:rPr>
                <w:b/>
                <w:noProof/>
              </w:rPr>
              <w:t>C9402</w:t>
            </w:r>
          </w:p>
        </w:tc>
      </w:tr>
    </w:tbl>
    <w:p w14:paraId="45E60514" w14:textId="77777777" w:rsidR="004734CD" w:rsidRDefault="004734CD" w:rsidP="004734CD">
      <w:pPr>
        <w:jc w:val="center"/>
      </w:pPr>
    </w:p>
    <w:p w14:paraId="245DA28A" w14:textId="77777777" w:rsidR="004734CD" w:rsidRDefault="004734CD" w:rsidP="004734CD">
      <w:pPr>
        <w:jc w:val="center"/>
        <w:rPr>
          <w:b/>
          <w:caps/>
          <w:sz w:val="28"/>
        </w:rPr>
      </w:pPr>
      <w:r>
        <w:rPr>
          <w:b/>
          <w:caps/>
          <w:noProof/>
          <w:sz w:val="28"/>
        </w:rPr>
        <w:t>State Transit Authority Bus Operations Enterprise (State) Award 2021</w:t>
      </w:r>
    </w:p>
    <w:p w14:paraId="37314C8B" w14:textId="77777777" w:rsidR="004734CD" w:rsidRDefault="004734CD" w:rsidP="004734CD">
      <w:pPr>
        <w:jc w:val="center"/>
        <w:rPr>
          <w:bCs/>
        </w:rPr>
      </w:pPr>
    </w:p>
    <w:p w14:paraId="7952441D" w14:textId="77777777" w:rsidR="004734CD" w:rsidRDefault="004734CD" w:rsidP="004734CD">
      <w:pPr>
        <w:jc w:val="center"/>
      </w:pPr>
      <w:r>
        <w:t>INDUSTRIAL RELATIONS COMMISSION OF NEW SOUTH WALES</w:t>
      </w:r>
    </w:p>
    <w:p w14:paraId="640C01A5" w14:textId="77777777" w:rsidR="004734CD" w:rsidRDefault="004734CD" w:rsidP="004734CD">
      <w:pPr>
        <w:jc w:val="center"/>
      </w:pPr>
    </w:p>
    <w:p w14:paraId="3BA8138C" w14:textId="77777777" w:rsidR="004734CD" w:rsidRDefault="004734CD" w:rsidP="004734CD">
      <w:r>
        <w:t xml:space="preserve">Application by </w:t>
      </w:r>
      <w:r>
        <w:rPr>
          <w:noProof/>
          <w:spacing w:val="-2"/>
        </w:rPr>
        <w:t>Secretary, Department of Transport</w:t>
      </w:r>
      <w:r>
        <w:t>.</w:t>
      </w:r>
    </w:p>
    <w:p w14:paraId="3A02BE52" w14:textId="77777777" w:rsidR="004734CD" w:rsidRDefault="004734CD" w:rsidP="004734CD"/>
    <w:p w14:paraId="164C2F2D" w14:textId="77777777" w:rsidR="004734CD" w:rsidRDefault="004734CD" w:rsidP="004734CD">
      <w:pPr>
        <w:jc w:val="center"/>
        <w:rPr>
          <w:sz w:val="16"/>
        </w:rPr>
      </w:pPr>
      <w:r>
        <w:rPr>
          <w:sz w:val="16"/>
        </w:rPr>
        <w:t xml:space="preserve">(Case No. </w:t>
      </w:r>
      <w:r>
        <w:rPr>
          <w:noProof/>
          <w:sz w:val="16"/>
        </w:rPr>
        <w:t>266738</w:t>
      </w:r>
      <w:r>
        <w:rPr>
          <w:sz w:val="16"/>
        </w:rPr>
        <w:t xml:space="preserve"> of </w:t>
      </w:r>
      <w:r>
        <w:rPr>
          <w:noProof/>
          <w:sz w:val="16"/>
        </w:rPr>
        <w:t>2021</w:t>
      </w:r>
      <w:r>
        <w:rPr>
          <w:sz w:val="16"/>
        </w:rPr>
        <w:t>)</w:t>
      </w:r>
    </w:p>
    <w:p w14:paraId="03BA8D98" w14:textId="77777777" w:rsidR="004734CD" w:rsidRDefault="004734CD" w:rsidP="004734CD">
      <w:pPr>
        <w:jc w:val="center"/>
      </w:pPr>
    </w:p>
    <w:tbl>
      <w:tblPr>
        <w:tblW w:w="0" w:type="auto"/>
        <w:jc w:val="center"/>
        <w:tblLook w:val="04A0" w:firstRow="1" w:lastRow="0" w:firstColumn="1" w:lastColumn="0" w:noHBand="0" w:noVBand="1"/>
      </w:tblPr>
      <w:tblGrid>
        <w:gridCol w:w="6629"/>
        <w:gridCol w:w="2546"/>
      </w:tblGrid>
      <w:tr w:rsidR="004734CD" w14:paraId="00605373" w14:textId="77777777" w:rsidTr="004734CD">
        <w:trPr>
          <w:jc w:val="center"/>
        </w:trPr>
        <w:tc>
          <w:tcPr>
            <w:tcW w:w="6629" w:type="dxa"/>
            <w:hideMark/>
          </w:tcPr>
          <w:p w14:paraId="26D6B532" w14:textId="77777777" w:rsidR="004734CD" w:rsidRDefault="004734CD">
            <w:r>
              <w:rPr>
                <w:spacing w:val="-2"/>
              </w:rPr>
              <w:t xml:space="preserve">Before </w:t>
            </w:r>
            <w:r>
              <w:rPr>
                <w:noProof/>
                <w:spacing w:val="-2"/>
              </w:rPr>
              <w:t>Chief Commissioner Constant</w:t>
            </w:r>
          </w:p>
        </w:tc>
        <w:tc>
          <w:tcPr>
            <w:tcW w:w="2546" w:type="dxa"/>
            <w:hideMark/>
          </w:tcPr>
          <w:p w14:paraId="15F202C1" w14:textId="77777777" w:rsidR="004734CD" w:rsidRDefault="004734CD">
            <w:pPr>
              <w:jc w:val="right"/>
            </w:pPr>
            <w:r>
              <w:rPr>
                <w:noProof/>
              </w:rPr>
              <w:t>30 September 2021</w:t>
            </w:r>
          </w:p>
        </w:tc>
      </w:tr>
    </w:tbl>
    <w:p w14:paraId="0A6E1223" w14:textId="77777777" w:rsidR="004734CD" w:rsidRDefault="004734CD" w:rsidP="004734CD"/>
    <w:p w14:paraId="3BBA7466" w14:textId="77777777" w:rsidR="004734CD" w:rsidRDefault="004734CD" w:rsidP="004734CD">
      <w:pPr>
        <w:jc w:val="center"/>
        <w:rPr>
          <w:b/>
        </w:rPr>
      </w:pPr>
      <w:r>
        <w:rPr>
          <w:b/>
        </w:rPr>
        <w:t>VARIATION</w:t>
      </w:r>
    </w:p>
    <w:p w14:paraId="7B10514C" w14:textId="77777777" w:rsidR="004734CD" w:rsidRDefault="004734CD" w:rsidP="004734CD"/>
    <w:p w14:paraId="0AC01BDF" w14:textId="5A533015" w:rsidR="004734CD" w:rsidRDefault="004734CD" w:rsidP="00F0360C">
      <w:pPr>
        <w:pStyle w:val="Level2A"/>
      </w:pPr>
      <w:r w:rsidRPr="004734CD">
        <w:t>1.</w:t>
      </w:r>
      <w:r w:rsidRPr="004734CD">
        <w:tab/>
        <w:t xml:space="preserve">Delete </w:t>
      </w:r>
      <w:r w:rsidR="00F0360C">
        <w:t xml:space="preserve">subclause </w:t>
      </w:r>
      <w:r w:rsidRPr="004734CD">
        <w:t>15.1</w:t>
      </w:r>
      <w:r w:rsidR="00F0360C">
        <w:t xml:space="preserve"> of clause 15, Wages and Wage Increases, of the award published 16 July 2021 (389 I.G. 559)</w:t>
      </w:r>
      <w:r w:rsidRPr="004734CD">
        <w:t xml:space="preserve"> and insert </w:t>
      </w:r>
      <w:r w:rsidR="00F0360C">
        <w:t>in lieu thereof the following</w:t>
      </w:r>
      <w:r w:rsidRPr="004734CD">
        <w:t>:</w:t>
      </w:r>
    </w:p>
    <w:p w14:paraId="0E3C873D" w14:textId="548807D6" w:rsidR="004734CD" w:rsidRDefault="004734CD" w:rsidP="00F0360C">
      <w:pPr>
        <w:pStyle w:val="Level2A"/>
      </w:pPr>
    </w:p>
    <w:p w14:paraId="4A8D5F97" w14:textId="77777777" w:rsidR="004734CD" w:rsidRDefault="004734CD" w:rsidP="00F0360C">
      <w:pPr>
        <w:pStyle w:val="Level2A"/>
      </w:pPr>
      <w:r w:rsidRPr="004734CD">
        <w:t>15.1</w:t>
      </w:r>
      <w:r w:rsidRPr="004734CD">
        <w:tab/>
        <w:t xml:space="preserve">Subject to this clause, wage rates at Part B - Table I Weekly Wage Rates (Table 1) - for classifications listed in Table </w:t>
      </w:r>
      <w:r w:rsidR="003B659C">
        <w:t>1</w:t>
      </w:r>
      <w:r w:rsidRPr="004734CD">
        <w:t>, incorporate the following wage increases:</w:t>
      </w:r>
    </w:p>
    <w:p w14:paraId="759D3F5B" w14:textId="77777777" w:rsidR="00F0360C" w:rsidRPr="004734CD" w:rsidRDefault="00F0360C" w:rsidP="004734CD"/>
    <w:p w14:paraId="431CF046" w14:textId="083C92F2" w:rsidR="004734CD" w:rsidRPr="004734CD" w:rsidRDefault="00F0360C" w:rsidP="00F0360C">
      <w:pPr>
        <w:pStyle w:val="Level3A"/>
      </w:pPr>
      <w:r>
        <w:t>(</w:t>
      </w:r>
      <w:r w:rsidR="004734CD" w:rsidRPr="004734CD">
        <w:t>i)</w:t>
      </w:r>
      <w:r w:rsidR="004734CD" w:rsidRPr="004734CD">
        <w:tab/>
        <w:t xml:space="preserve">From the First Full Pay Period commencing on or after </w:t>
      </w:r>
      <w:r w:rsidR="00CE1E7D">
        <w:t>1</w:t>
      </w:r>
      <w:r w:rsidR="004734CD" w:rsidRPr="004734CD">
        <w:t xml:space="preserve"> January 2021: 0.3%, which is equivalent to the outcome of the Public Sector Wage Case 2020; and</w:t>
      </w:r>
    </w:p>
    <w:p w14:paraId="483A985A" w14:textId="77777777" w:rsidR="004734CD" w:rsidRPr="004734CD" w:rsidRDefault="004734CD" w:rsidP="00F0360C">
      <w:pPr>
        <w:pStyle w:val="Level3A"/>
      </w:pPr>
    </w:p>
    <w:p w14:paraId="17D67B41" w14:textId="77777777" w:rsidR="00F0360C" w:rsidRDefault="004734CD" w:rsidP="00F0360C">
      <w:pPr>
        <w:pStyle w:val="Level3A"/>
      </w:pPr>
      <w:r w:rsidRPr="004734CD">
        <w:t>(ii)</w:t>
      </w:r>
    </w:p>
    <w:p w14:paraId="1B80AC0C" w14:textId="77777777" w:rsidR="00F0360C" w:rsidRDefault="00F0360C" w:rsidP="004734CD"/>
    <w:p w14:paraId="0AF39641" w14:textId="46FB8CD5" w:rsidR="004734CD" w:rsidRPr="004734CD" w:rsidRDefault="004734CD" w:rsidP="00F0360C">
      <w:pPr>
        <w:pStyle w:val="Level4A"/>
      </w:pPr>
      <w:r w:rsidRPr="004734CD">
        <w:t>(a)</w:t>
      </w:r>
      <w:r w:rsidR="00F0360C">
        <w:tab/>
      </w:r>
      <w:r w:rsidRPr="004734CD">
        <w:t xml:space="preserve">From the First Full Pay Period commencing on or after </w:t>
      </w:r>
      <w:r w:rsidR="00CE1E7D">
        <w:t>1</w:t>
      </w:r>
      <w:r w:rsidRPr="004734CD">
        <w:t xml:space="preserve"> January 2022: 2.5 per cent, inclusive of the Superannuation Guarantee Charge ("SGC") increase.</w:t>
      </w:r>
    </w:p>
    <w:p w14:paraId="3DD8021F" w14:textId="77777777" w:rsidR="004734CD" w:rsidRPr="004734CD" w:rsidRDefault="004734CD" w:rsidP="00F0360C">
      <w:pPr>
        <w:pStyle w:val="Level4A"/>
      </w:pPr>
    </w:p>
    <w:p w14:paraId="22D6362E" w14:textId="45FE87EE" w:rsidR="004734CD" w:rsidRPr="004734CD" w:rsidRDefault="004734CD" w:rsidP="00F0360C">
      <w:pPr>
        <w:pStyle w:val="Level4A"/>
      </w:pPr>
      <w:r w:rsidRPr="004734CD">
        <w:t>(b)</w:t>
      </w:r>
      <w:r w:rsidRPr="004734CD">
        <w:tab/>
        <w:t xml:space="preserve">With SGC scheduled to increase from IO per cent to 10.5 per cent from </w:t>
      </w:r>
      <w:r w:rsidR="00CE1E7D">
        <w:t>1</w:t>
      </w:r>
      <w:r w:rsidRPr="004734CD">
        <w:t xml:space="preserve"> July 2022, the increase to wages and allowances is 2.04 per cent from the First Full Pay Period commencing on or after l January 2022.</w:t>
      </w:r>
    </w:p>
    <w:p w14:paraId="0EE9512A" w14:textId="77777777" w:rsidR="004734CD" w:rsidRPr="004734CD" w:rsidRDefault="004734CD" w:rsidP="00F0360C">
      <w:pPr>
        <w:pStyle w:val="Level4A"/>
      </w:pPr>
    </w:p>
    <w:p w14:paraId="27DB728E" w14:textId="23A7B66E" w:rsidR="004734CD" w:rsidRPr="004734CD" w:rsidRDefault="004734CD" w:rsidP="00F0360C">
      <w:pPr>
        <w:pStyle w:val="Level4A"/>
      </w:pPr>
      <w:r w:rsidRPr="004734CD">
        <w:t>(c)</w:t>
      </w:r>
      <w:r w:rsidRPr="004734CD">
        <w:tab/>
        <w:t xml:space="preserve">In the event that there is no increase to the SGC in July 2022, the increase to wages and allowances shall be 2.5 per cent from the First Full Pay Period commencing on or after </w:t>
      </w:r>
      <w:r w:rsidR="00F0360C">
        <w:t>1</w:t>
      </w:r>
      <w:r w:rsidRPr="004734CD">
        <w:t xml:space="preserve"> Janua</w:t>
      </w:r>
      <w:r w:rsidR="00F0360C">
        <w:t>r</w:t>
      </w:r>
      <w:r w:rsidRPr="004734CD">
        <w:t>y 2022.</w:t>
      </w:r>
    </w:p>
    <w:p w14:paraId="28C67134" w14:textId="77777777" w:rsidR="004734CD" w:rsidRPr="004734CD" w:rsidRDefault="004734CD" w:rsidP="00F0360C">
      <w:pPr>
        <w:pStyle w:val="Level4A"/>
      </w:pPr>
    </w:p>
    <w:p w14:paraId="5FF19388" w14:textId="740E52FB" w:rsidR="004734CD" w:rsidRDefault="004734CD" w:rsidP="00F0360C">
      <w:pPr>
        <w:pStyle w:val="Level4A"/>
      </w:pPr>
      <w:r w:rsidRPr="004734CD">
        <w:t>(d)</w:t>
      </w:r>
      <w:r w:rsidRPr="004734CD">
        <w:tab/>
        <w:t>If the SGC is varied by a quantum other than 0.5 per cent in July 2022, the parties are to review the increase to wages and allowances to ensure a total increase of</w:t>
      </w:r>
      <w:r w:rsidR="00F0360C">
        <w:t xml:space="preserve"> </w:t>
      </w:r>
      <w:r w:rsidRPr="004734CD">
        <w:t>2.5 per cent (inclusive of wages and allowances and any SGC increase) applies from the First Full Pay Period commencing on or after 1 January 2022.</w:t>
      </w:r>
    </w:p>
    <w:p w14:paraId="3DF9E22C" w14:textId="77777777" w:rsidR="00F0360C" w:rsidRPr="004734CD" w:rsidRDefault="00F0360C" w:rsidP="004734CD"/>
    <w:p w14:paraId="437C75C3" w14:textId="66604CF6" w:rsidR="004734CD" w:rsidRDefault="004734CD" w:rsidP="00F0360C">
      <w:pPr>
        <w:pStyle w:val="Level2A"/>
      </w:pPr>
      <w:r w:rsidRPr="004734CD">
        <w:t>2.</w:t>
      </w:r>
      <w:r w:rsidRPr="004734CD">
        <w:tab/>
        <w:t>Delete Table 1 - Wage</w:t>
      </w:r>
      <w:r w:rsidR="00F0360C">
        <w:t xml:space="preserve"> Rates</w:t>
      </w:r>
      <w:r w:rsidRPr="004734CD">
        <w:t xml:space="preserve"> and </w:t>
      </w:r>
      <w:r w:rsidR="006F1A8B">
        <w:t xml:space="preserve">Table 2 - Other Rates and Allowances </w:t>
      </w:r>
      <w:r w:rsidR="00CE1E7D">
        <w:t xml:space="preserve">of Part B and </w:t>
      </w:r>
      <w:r w:rsidRPr="004734CD">
        <w:t xml:space="preserve">insert </w:t>
      </w:r>
      <w:r w:rsidR="00F0360C">
        <w:t>in lieu thereof the following</w:t>
      </w:r>
      <w:r w:rsidRPr="004734CD">
        <w:t>:</w:t>
      </w:r>
    </w:p>
    <w:p w14:paraId="570B8BB8" w14:textId="70FBE9E2" w:rsidR="006F1A8B" w:rsidRDefault="006F1A8B" w:rsidP="006F1A8B"/>
    <w:p w14:paraId="0B486D5A" w14:textId="4A7BB003" w:rsidR="006F1A8B" w:rsidRPr="006F1A8B" w:rsidRDefault="006F1A8B" w:rsidP="006F1A8B">
      <w:pPr>
        <w:pStyle w:val="Part"/>
      </w:pPr>
      <w:r>
        <w:t>PART B</w:t>
      </w:r>
    </w:p>
    <w:p w14:paraId="18BE8A8A" w14:textId="77777777" w:rsidR="004734CD" w:rsidRPr="004734CD" w:rsidRDefault="004734CD" w:rsidP="004734CD"/>
    <w:p w14:paraId="60D59BA9" w14:textId="1DFBD46D" w:rsidR="004734CD" w:rsidRDefault="004734CD" w:rsidP="00F0360C">
      <w:pPr>
        <w:pStyle w:val="TableHeading"/>
      </w:pPr>
      <w:r w:rsidRPr="004734CD">
        <w:t>Table I - Indicative Wage Rates</w:t>
      </w:r>
    </w:p>
    <w:p w14:paraId="61111311" w14:textId="77777777" w:rsidR="00F0360C" w:rsidRPr="004734CD" w:rsidRDefault="00F0360C" w:rsidP="004734CD"/>
    <w:p w14:paraId="7DC17FD4" w14:textId="77777777" w:rsidR="004734CD" w:rsidRPr="004734CD" w:rsidRDefault="004734CD" w:rsidP="00F0360C">
      <w:pPr>
        <w:jc w:val="center"/>
      </w:pPr>
      <w:r w:rsidRPr="004734CD">
        <w:t>(subject to conditions outlined in clause 15 Wages and Wage Increases)</w:t>
      </w:r>
    </w:p>
    <w:p w14:paraId="0351D544" w14:textId="77777777" w:rsidR="004734CD" w:rsidRPr="004734CD" w:rsidRDefault="004734CD" w:rsidP="004734CD"/>
    <w:tbl>
      <w:tblPr>
        <w:tblW w:w="4544"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11"/>
        <w:gridCol w:w="2014"/>
        <w:gridCol w:w="2013"/>
      </w:tblGrid>
      <w:tr w:rsidR="004A4847" w:rsidRPr="00923BEB" w14:paraId="1FDD4E80"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7BF2AAB0" w14:textId="1C421424" w:rsidR="006F1A8B" w:rsidRPr="00923BEB" w:rsidRDefault="006F1A8B" w:rsidP="006F1A8B">
            <w:pPr>
              <w:ind w:right="-57"/>
              <w:jc w:val="center"/>
            </w:pPr>
            <w:r w:rsidRPr="00923BEB">
              <w:t>CLASSIFICATION</w:t>
            </w:r>
          </w:p>
        </w:tc>
        <w:tc>
          <w:tcPr>
            <w:tcW w:w="2414" w:type="pct"/>
            <w:gridSpan w:val="2"/>
            <w:tcBorders>
              <w:top w:val="single" w:sz="4" w:space="0" w:color="auto"/>
              <w:left w:val="single" w:sz="4" w:space="0" w:color="auto"/>
              <w:bottom w:val="nil"/>
              <w:right w:val="single" w:sz="4" w:space="0" w:color="auto"/>
            </w:tcBorders>
            <w:shd w:val="clear" w:color="auto" w:fill="auto"/>
          </w:tcPr>
          <w:p w14:paraId="278B237E" w14:textId="0582DE68" w:rsidR="006F1A8B" w:rsidRPr="00923BEB" w:rsidRDefault="006F1A8B" w:rsidP="006F1A8B">
            <w:pPr>
              <w:jc w:val="center"/>
            </w:pPr>
            <w:r w:rsidRPr="00923BEB">
              <w:t>Weekly rates</w:t>
            </w:r>
            <w:r>
              <w:t xml:space="preserve"> </w:t>
            </w:r>
            <w:r w:rsidRPr="00923BEB">
              <w:t>($)</w:t>
            </w:r>
          </w:p>
        </w:tc>
      </w:tr>
      <w:tr w:rsidR="006F1A8B" w:rsidRPr="00923BEB" w14:paraId="6D75726C"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1C868C05" w14:textId="77777777" w:rsidR="006F1A8B" w:rsidRPr="00923BEB" w:rsidRDefault="006F1A8B" w:rsidP="006F1A8B">
            <w:pPr>
              <w:ind w:right="-57"/>
            </w:pPr>
          </w:p>
        </w:tc>
        <w:tc>
          <w:tcPr>
            <w:tcW w:w="1208" w:type="pct"/>
            <w:tcBorders>
              <w:top w:val="single" w:sz="4" w:space="0" w:color="auto"/>
              <w:left w:val="single" w:sz="4" w:space="0" w:color="auto"/>
              <w:bottom w:val="nil"/>
              <w:right w:val="single" w:sz="4" w:space="0" w:color="auto"/>
            </w:tcBorders>
            <w:shd w:val="clear" w:color="auto" w:fill="auto"/>
          </w:tcPr>
          <w:p w14:paraId="70B66372" w14:textId="49F90FCB" w:rsidR="006F1A8B" w:rsidRPr="00923BEB" w:rsidRDefault="006F1A8B" w:rsidP="006F1A8B">
            <w:pPr>
              <w:ind w:left="-57" w:right="-57"/>
              <w:jc w:val="center"/>
            </w:pPr>
            <w:r w:rsidRPr="00923BEB">
              <w:t xml:space="preserve">Effective from the first </w:t>
            </w:r>
          </w:p>
        </w:tc>
        <w:tc>
          <w:tcPr>
            <w:tcW w:w="1208" w:type="pct"/>
            <w:tcBorders>
              <w:top w:val="single" w:sz="4" w:space="0" w:color="auto"/>
              <w:left w:val="single" w:sz="4" w:space="0" w:color="auto"/>
              <w:bottom w:val="nil"/>
              <w:right w:val="single" w:sz="4" w:space="0" w:color="auto"/>
            </w:tcBorders>
            <w:shd w:val="clear" w:color="auto" w:fill="auto"/>
          </w:tcPr>
          <w:p w14:paraId="2011FF22" w14:textId="24CA0599" w:rsidR="006F1A8B" w:rsidRPr="00923BEB" w:rsidRDefault="006F1A8B" w:rsidP="006F1A8B">
            <w:pPr>
              <w:ind w:left="-57" w:right="-57"/>
              <w:jc w:val="center"/>
            </w:pPr>
            <w:r w:rsidRPr="00923BEB">
              <w:t>Effective from the first</w:t>
            </w:r>
          </w:p>
        </w:tc>
      </w:tr>
      <w:tr w:rsidR="006F1A8B" w:rsidRPr="00923BEB" w14:paraId="7C004B6A" w14:textId="77777777" w:rsidTr="004A4847">
        <w:trPr>
          <w:cantSplit/>
        </w:trPr>
        <w:tc>
          <w:tcPr>
            <w:tcW w:w="2585" w:type="pct"/>
            <w:tcBorders>
              <w:top w:val="nil"/>
              <w:left w:val="single" w:sz="4" w:space="0" w:color="auto"/>
              <w:bottom w:val="nil"/>
              <w:right w:val="single" w:sz="4" w:space="0" w:color="auto"/>
            </w:tcBorders>
            <w:shd w:val="clear" w:color="auto" w:fill="auto"/>
          </w:tcPr>
          <w:p w14:paraId="4DB3867B" w14:textId="77777777" w:rsidR="006F1A8B" w:rsidRPr="00923BEB" w:rsidRDefault="006F1A8B" w:rsidP="006F1A8B">
            <w:pPr>
              <w:ind w:right="-57"/>
            </w:pPr>
          </w:p>
        </w:tc>
        <w:tc>
          <w:tcPr>
            <w:tcW w:w="1208" w:type="pct"/>
            <w:tcBorders>
              <w:top w:val="nil"/>
              <w:left w:val="single" w:sz="4" w:space="0" w:color="auto"/>
              <w:bottom w:val="nil"/>
              <w:right w:val="single" w:sz="4" w:space="0" w:color="auto"/>
            </w:tcBorders>
            <w:shd w:val="clear" w:color="auto" w:fill="auto"/>
          </w:tcPr>
          <w:p w14:paraId="7B3AF03A" w14:textId="2D5465A8" w:rsidR="006F1A8B" w:rsidRPr="00923BEB" w:rsidRDefault="006F1A8B" w:rsidP="006F1A8B">
            <w:pPr>
              <w:ind w:left="-57" w:right="-57"/>
              <w:jc w:val="center"/>
            </w:pPr>
            <w:r w:rsidRPr="00923BEB">
              <w:t>full</w:t>
            </w:r>
            <w:r>
              <w:t xml:space="preserve"> </w:t>
            </w:r>
            <w:r w:rsidRPr="00923BEB">
              <w:t xml:space="preserve">pay period on or </w:t>
            </w:r>
          </w:p>
        </w:tc>
        <w:tc>
          <w:tcPr>
            <w:tcW w:w="1208" w:type="pct"/>
            <w:tcBorders>
              <w:top w:val="nil"/>
              <w:left w:val="single" w:sz="4" w:space="0" w:color="auto"/>
              <w:bottom w:val="nil"/>
              <w:right w:val="single" w:sz="4" w:space="0" w:color="auto"/>
            </w:tcBorders>
            <w:shd w:val="clear" w:color="auto" w:fill="auto"/>
          </w:tcPr>
          <w:p w14:paraId="1F1ECF38" w14:textId="50C80D01" w:rsidR="006F1A8B" w:rsidRPr="00923BEB" w:rsidRDefault="006F1A8B" w:rsidP="006F1A8B">
            <w:pPr>
              <w:ind w:left="-57" w:right="-57"/>
              <w:jc w:val="center"/>
            </w:pPr>
            <w:r w:rsidRPr="00923BEB">
              <w:t xml:space="preserve">full pay period on or </w:t>
            </w:r>
          </w:p>
        </w:tc>
      </w:tr>
      <w:tr w:rsidR="006F1A8B" w:rsidRPr="00923BEB" w14:paraId="7F7F70DF" w14:textId="77777777" w:rsidTr="004A4847">
        <w:trPr>
          <w:cantSplit/>
        </w:trPr>
        <w:tc>
          <w:tcPr>
            <w:tcW w:w="2585" w:type="pct"/>
            <w:tcBorders>
              <w:top w:val="nil"/>
              <w:left w:val="single" w:sz="4" w:space="0" w:color="auto"/>
              <w:bottom w:val="single" w:sz="4" w:space="0" w:color="auto"/>
              <w:right w:val="single" w:sz="4" w:space="0" w:color="auto"/>
            </w:tcBorders>
            <w:shd w:val="clear" w:color="auto" w:fill="auto"/>
          </w:tcPr>
          <w:p w14:paraId="325A2AED" w14:textId="77777777" w:rsidR="006F1A8B" w:rsidRPr="00923BEB" w:rsidRDefault="006F1A8B" w:rsidP="006F1A8B">
            <w:pPr>
              <w:ind w:right="-57"/>
            </w:pPr>
          </w:p>
        </w:tc>
        <w:tc>
          <w:tcPr>
            <w:tcW w:w="1208" w:type="pct"/>
            <w:tcBorders>
              <w:top w:val="nil"/>
              <w:left w:val="single" w:sz="4" w:space="0" w:color="auto"/>
              <w:bottom w:val="single" w:sz="4" w:space="0" w:color="auto"/>
              <w:right w:val="single" w:sz="4" w:space="0" w:color="auto"/>
            </w:tcBorders>
            <w:shd w:val="clear" w:color="auto" w:fill="auto"/>
          </w:tcPr>
          <w:p w14:paraId="482DA508" w14:textId="5D047FB3" w:rsidR="006F1A8B" w:rsidRPr="00923BEB" w:rsidRDefault="006F1A8B" w:rsidP="006F1A8B">
            <w:pPr>
              <w:ind w:left="-57" w:right="-57"/>
              <w:jc w:val="center"/>
            </w:pPr>
            <w:r w:rsidRPr="00923BEB">
              <w:t>after</w:t>
            </w:r>
            <w:r>
              <w:t xml:space="preserve"> </w:t>
            </w:r>
            <w:r w:rsidRPr="00923BEB">
              <w:t>1/01/2021</w:t>
            </w:r>
          </w:p>
        </w:tc>
        <w:tc>
          <w:tcPr>
            <w:tcW w:w="1208" w:type="pct"/>
            <w:tcBorders>
              <w:top w:val="nil"/>
              <w:left w:val="single" w:sz="4" w:space="0" w:color="auto"/>
              <w:bottom w:val="single" w:sz="4" w:space="0" w:color="auto"/>
              <w:right w:val="single" w:sz="4" w:space="0" w:color="auto"/>
            </w:tcBorders>
            <w:shd w:val="clear" w:color="auto" w:fill="auto"/>
          </w:tcPr>
          <w:p w14:paraId="1A210311" w14:textId="2E1FB593" w:rsidR="006F1A8B" w:rsidRPr="00923BEB" w:rsidRDefault="006F1A8B" w:rsidP="006F1A8B">
            <w:pPr>
              <w:ind w:left="-57" w:right="-57"/>
              <w:jc w:val="center"/>
            </w:pPr>
            <w:r w:rsidRPr="00923BEB">
              <w:t>after</w:t>
            </w:r>
            <w:r>
              <w:t xml:space="preserve"> </w:t>
            </w:r>
            <w:r w:rsidRPr="00923BEB">
              <w:t>1/1/2022</w:t>
            </w:r>
          </w:p>
        </w:tc>
      </w:tr>
      <w:tr w:rsidR="006F1A8B" w:rsidRPr="00923BEB" w14:paraId="536DB12F"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571A2913" w14:textId="77777777" w:rsidR="006F1A8B" w:rsidRPr="00923BEB" w:rsidRDefault="006F1A8B" w:rsidP="006F1A8B">
            <w:pPr>
              <w:ind w:right="-57"/>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1A6A6BB" w14:textId="77777777" w:rsidR="006F1A8B" w:rsidRPr="00923BEB" w:rsidRDefault="006F1A8B" w:rsidP="006F1A8B">
            <w:pPr>
              <w:jc w:val="center"/>
            </w:pPr>
            <w:r w:rsidRPr="00923BEB">
              <w:t>0.3% increase</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1570BD5" w14:textId="77777777" w:rsidR="006F1A8B" w:rsidRPr="00923BEB" w:rsidRDefault="006F1A8B" w:rsidP="006F1A8B">
            <w:pPr>
              <w:jc w:val="center"/>
            </w:pPr>
            <w:r w:rsidRPr="00923BEB">
              <w:t>2.04% increase</w:t>
            </w:r>
          </w:p>
        </w:tc>
      </w:tr>
      <w:tr w:rsidR="006F1A8B" w:rsidRPr="00923BEB" w14:paraId="364E58D8"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32334ADE" w14:textId="77777777" w:rsidR="006F1A8B" w:rsidRPr="00923BEB" w:rsidRDefault="006F1A8B" w:rsidP="006F1A8B">
            <w:pPr>
              <w:ind w:right="-57"/>
            </w:pPr>
            <w:r w:rsidRPr="00923BEB">
              <w:t>Bus Operator, Trainee</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4CBE49C" w14:textId="77777777" w:rsidR="006F1A8B" w:rsidRPr="00923BEB" w:rsidRDefault="006F1A8B" w:rsidP="006F1A8B">
            <w:pPr>
              <w:jc w:val="center"/>
            </w:pPr>
            <w:r w:rsidRPr="00923BEB">
              <w:t>1,015.90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D0E3D31" w14:textId="77777777" w:rsidR="006F1A8B" w:rsidRPr="00923BEB" w:rsidRDefault="006F1A8B" w:rsidP="006F1A8B">
            <w:pPr>
              <w:jc w:val="center"/>
            </w:pPr>
            <w:r w:rsidRPr="00923BEB">
              <w:t>1036.60</w:t>
            </w:r>
          </w:p>
        </w:tc>
      </w:tr>
      <w:tr w:rsidR="006F1A8B" w:rsidRPr="00923BEB" w14:paraId="6432F99A"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76B31A5A" w14:textId="021E1F09" w:rsidR="006F1A8B" w:rsidRPr="00923BEB" w:rsidRDefault="006F1A8B" w:rsidP="006F1A8B">
            <w:pPr>
              <w:ind w:right="-57"/>
            </w:pPr>
            <w:r w:rsidRPr="00923BEB">
              <w:t xml:space="preserve">Bus Operator level </w:t>
            </w:r>
            <w: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006DE43" w14:textId="77777777" w:rsidR="006F1A8B" w:rsidRPr="00923BEB" w:rsidRDefault="006F1A8B" w:rsidP="006F1A8B">
            <w:pPr>
              <w:jc w:val="center"/>
            </w:pPr>
            <w:r w:rsidRPr="00923BEB">
              <w:t>1,054.40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2899C03" w14:textId="77777777" w:rsidR="006F1A8B" w:rsidRPr="00923BEB" w:rsidRDefault="006F1A8B" w:rsidP="006F1A8B">
            <w:pPr>
              <w:jc w:val="center"/>
            </w:pPr>
            <w:r w:rsidRPr="00923BEB">
              <w:t>1075.90</w:t>
            </w:r>
          </w:p>
        </w:tc>
      </w:tr>
      <w:tr w:rsidR="006F1A8B" w:rsidRPr="00923BEB" w14:paraId="1080DD54"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129E72F9" w14:textId="77777777" w:rsidR="006F1A8B" w:rsidRPr="00923BEB" w:rsidRDefault="006F1A8B" w:rsidP="006F1A8B">
            <w:pPr>
              <w:ind w:right="-57"/>
            </w:pPr>
            <w:r w:rsidRPr="00923BEB">
              <w:t>Bus Operator level 2</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3AD6EC1" w14:textId="77777777" w:rsidR="006F1A8B" w:rsidRPr="00923BEB" w:rsidRDefault="006F1A8B" w:rsidP="006F1A8B">
            <w:pPr>
              <w:jc w:val="center"/>
            </w:pPr>
            <w:r w:rsidRPr="00923BEB">
              <w:t>1,096.70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F7EDA14" w14:textId="77777777" w:rsidR="006F1A8B" w:rsidRPr="00923BEB" w:rsidRDefault="006F1A8B" w:rsidP="006F1A8B">
            <w:pPr>
              <w:jc w:val="center"/>
            </w:pPr>
            <w:r w:rsidRPr="00923BEB">
              <w:t>1119.10</w:t>
            </w:r>
          </w:p>
        </w:tc>
      </w:tr>
      <w:tr w:rsidR="006F1A8B" w:rsidRPr="00923BEB" w14:paraId="2C243649"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3AB78B80" w14:textId="77777777" w:rsidR="006F1A8B" w:rsidRPr="00923BEB" w:rsidRDefault="006F1A8B" w:rsidP="006F1A8B">
            <w:pPr>
              <w:ind w:right="-57"/>
            </w:pPr>
            <w:r w:rsidRPr="00923BEB">
              <w:t>Senior Bus Operator</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E6F78E1" w14:textId="77777777" w:rsidR="006F1A8B" w:rsidRPr="00923BEB" w:rsidRDefault="006F1A8B" w:rsidP="006F1A8B">
            <w:pPr>
              <w:jc w:val="center"/>
            </w:pPr>
            <w:r w:rsidRPr="00923BEB">
              <w:t>1,117.60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57D1F3E" w14:textId="77777777" w:rsidR="006F1A8B" w:rsidRPr="00923BEB" w:rsidRDefault="006F1A8B" w:rsidP="006F1A8B">
            <w:pPr>
              <w:jc w:val="center"/>
            </w:pPr>
            <w:r w:rsidRPr="00923BEB">
              <w:t>1140.40</w:t>
            </w:r>
          </w:p>
        </w:tc>
      </w:tr>
      <w:tr w:rsidR="006F1A8B" w:rsidRPr="00923BEB" w14:paraId="2C3C11EF"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0443612B" w14:textId="77777777" w:rsidR="006F1A8B" w:rsidRPr="00923BEB" w:rsidRDefault="006F1A8B" w:rsidP="006F1A8B">
            <w:pPr>
              <w:ind w:right="-57"/>
            </w:pPr>
            <w:r w:rsidRPr="00923BEB">
              <w:t>Yard Supervisor</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7F36F83" w14:textId="77777777" w:rsidR="006F1A8B" w:rsidRPr="00923BEB" w:rsidRDefault="006F1A8B" w:rsidP="006F1A8B">
            <w:pPr>
              <w:jc w:val="center"/>
            </w:pPr>
            <w:r w:rsidRPr="00923BEB">
              <w:t>1,209.70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109B39B" w14:textId="77777777" w:rsidR="006F1A8B" w:rsidRPr="00923BEB" w:rsidRDefault="006F1A8B" w:rsidP="006F1A8B">
            <w:pPr>
              <w:jc w:val="center"/>
            </w:pPr>
            <w:r w:rsidRPr="00923BEB">
              <w:t>1234.40</w:t>
            </w:r>
          </w:p>
        </w:tc>
      </w:tr>
      <w:tr w:rsidR="006F1A8B" w:rsidRPr="00923BEB" w14:paraId="44CB4869"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1788C263" w14:textId="77777777" w:rsidR="006F1A8B" w:rsidRPr="00923BEB" w:rsidRDefault="006F1A8B" w:rsidP="006F1A8B">
            <w:pPr>
              <w:ind w:right="-57"/>
            </w:pPr>
            <w:r w:rsidRPr="00923BEB">
              <w:t>Senior Bus Operator - Yard (SBOY)</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4960B28" w14:textId="77777777" w:rsidR="006F1A8B" w:rsidRPr="00923BEB" w:rsidRDefault="006F1A8B" w:rsidP="006F1A8B">
            <w:pPr>
              <w:jc w:val="center"/>
            </w:pPr>
            <w:r w:rsidRPr="00923BEB">
              <w:t>1,150.00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B36EA67" w14:textId="77777777" w:rsidR="006F1A8B" w:rsidRPr="00923BEB" w:rsidRDefault="006F1A8B" w:rsidP="006F1A8B">
            <w:pPr>
              <w:jc w:val="center"/>
            </w:pPr>
            <w:r w:rsidRPr="00923BEB">
              <w:t>1173.50</w:t>
            </w:r>
          </w:p>
        </w:tc>
      </w:tr>
      <w:tr w:rsidR="006F1A8B" w:rsidRPr="00923BEB" w14:paraId="52F4558F"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45A5B990" w14:textId="09704847" w:rsidR="006F1A8B" w:rsidRPr="00923BEB" w:rsidRDefault="006F1A8B" w:rsidP="006F1A8B">
            <w:pPr>
              <w:ind w:right="-57"/>
            </w:pPr>
            <w:r w:rsidRPr="00923BEB">
              <w:t xml:space="preserve">Bus Operator Trainer </w:t>
            </w:r>
            <w: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1CCA5DA" w14:textId="77777777" w:rsidR="006F1A8B" w:rsidRPr="00923BEB" w:rsidRDefault="006F1A8B" w:rsidP="006F1A8B">
            <w:pPr>
              <w:jc w:val="center"/>
            </w:pPr>
            <w:r w:rsidRPr="00923BEB">
              <w:t>1,209.70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3035C30" w14:textId="77777777" w:rsidR="006F1A8B" w:rsidRPr="00923BEB" w:rsidRDefault="006F1A8B" w:rsidP="006F1A8B">
            <w:pPr>
              <w:jc w:val="center"/>
            </w:pPr>
            <w:r w:rsidRPr="00923BEB">
              <w:t>1234.40</w:t>
            </w:r>
          </w:p>
        </w:tc>
      </w:tr>
      <w:tr w:rsidR="006F1A8B" w:rsidRPr="00923BEB" w14:paraId="3810F1DD"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028341AB" w14:textId="77777777" w:rsidR="006F1A8B" w:rsidRPr="00923BEB" w:rsidRDefault="006F1A8B" w:rsidP="006F1A8B">
            <w:pPr>
              <w:ind w:right="-57"/>
            </w:pPr>
            <w:r w:rsidRPr="00923BEB">
              <w:t>Bus Operator Trainer 2</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07AF41F" w14:textId="77777777" w:rsidR="006F1A8B" w:rsidRPr="00923BEB" w:rsidRDefault="006F1A8B" w:rsidP="006F1A8B">
            <w:pPr>
              <w:jc w:val="center"/>
            </w:pPr>
            <w:r w:rsidRPr="00923BEB">
              <w:t>1,302.30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7F4092F" w14:textId="77777777" w:rsidR="006F1A8B" w:rsidRPr="00923BEB" w:rsidRDefault="006F1A8B" w:rsidP="006F1A8B">
            <w:pPr>
              <w:jc w:val="center"/>
            </w:pPr>
            <w:r w:rsidRPr="00923BEB">
              <w:t>1328.90</w:t>
            </w:r>
          </w:p>
        </w:tc>
      </w:tr>
      <w:tr w:rsidR="006F1A8B" w:rsidRPr="00923BEB" w14:paraId="2B9C7F80"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7D1B6EEC" w14:textId="77777777" w:rsidR="006F1A8B" w:rsidRPr="00923BEB" w:rsidRDefault="006F1A8B" w:rsidP="006F1A8B">
            <w:pPr>
              <w:ind w:right="-57"/>
            </w:pPr>
            <w:r w:rsidRPr="00923BEB">
              <w:t>Bus Operator Trainer 3</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07B5CA1" w14:textId="77777777" w:rsidR="006F1A8B" w:rsidRPr="00923BEB" w:rsidRDefault="006F1A8B" w:rsidP="006F1A8B">
            <w:pPr>
              <w:jc w:val="center"/>
            </w:pPr>
            <w:r w:rsidRPr="00923BEB">
              <w:t>1,426.00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79D60EF" w14:textId="77777777" w:rsidR="006F1A8B" w:rsidRPr="00923BEB" w:rsidRDefault="006F1A8B" w:rsidP="006F1A8B">
            <w:pPr>
              <w:jc w:val="center"/>
            </w:pPr>
            <w:r w:rsidRPr="00923BEB">
              <w:t>1455.10</w:t>
            </w:r>
          </w:p>
        </w:tc>
      </w:tr>
      <w:tr w:rsidR="006F1A8B" w:rsidRPr="00923BEB" w14:paraId="758E8F81"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2DD420B3" w14:textId="6DE0C1DA" w:rsidR="006F1A8B" w:rsidRPr="00923BEB" w:rsidRDefault="006F1A8B" w:rsidP="006F1A8B">
            <w:pPr>
              <w:ind w:right="-57"/>
            </w:pPr>
            <w:r w:rsidRPr="00923BEB">
              <w:t xml:space="preserve">Bus Cleaner level </w:t>
            </w:r>
            <w: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DF74CA4" w14:textId="77777777" w:rsidR="006F1A8B" w:rsidRPr="00923BEB" w:rsidRDefault="006F1A8B" w:rsidP="006F1A8B">
            <w:pPr>
              <w:jc w:val="center"/>
            </w:pPr>
            <w:r w:rsidRPr="00923BEB">
              <w:t>913.70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34412B5" w14:textId="77777777" w:rsidR="006F1A8B" w:rsidRPr="00923BEB" w:rsidRDefault="006F1A8B" w:rsidP="006F1A8B">
            <w:pPr>
              <w:jc w:val="center"/>
            </w:pPr>
            <w:r w:rsidRPr="00923BEB">
              <w:t>932.30</w:t>
            </w:r>
          </w:p>
        </w:tc>
      </w:tr>
      <w:tr w:rsidR="006F1A8B" w:rsidRPr="00923BEB" w14:paraId="7BCEF34B"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79243B53" w14:textId="77777777" w:rsidR="006F1A8B" w:rsidRPr="00923BEB" w:rsidRDefault="006F1A8B" w:rsidP="006F1A8B">
            <w:pPr>
              <w:ind w:right="-57"/>
            </w:pPr>
            <w:r w:rsidRPr="00923BEB">
              <w:t>Bus Cleaner level 2</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E04DBE8" w14:textId="77777777" w:rsidR="006F1A8B" w:rsidRPr="00923BEB" w:rsidRDefault="006F1A8B" w:rsidP="006F1A8B">
            <w:pPr>
              <w:jc w:val="center"/>
            </w:pPr>
            <w:r w:rsidRPr="00923BEB">
              <w:t>970.80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B753DC2" w14:textId="77777777" w:rsidR="006F1A8B" w:rsidRPr="00923BEB" w:rsidRDefault="006F1A8B" w:rsidP="006F1A8B">
            <w:pPr>
              <w:jc w:val="center"/>
            </w:pPr>
            <w:r w:rsidRPr="00923BEB">
              <w:t>990.60</w:t>
            </w:r>
          </w:p>
        </w:tc>
      </w:tr>
      <w:tr w:rsidR="006F1A8B" w:rsidRPr="00923BEB" w14:paraId="2F5A5B4E"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4D5890D0" w14:textId="77777777" w:rsidR="006F1A8B" w:rsidRPr="00923BEB" w:rsidRDefault="006F1A8B" w:rsidP="006F1A8B">
            <w:pPr>
              <w:ind w:right="-57"/>
            </w:pPr>
            <w:r w:rsidRPr="00923BEB">
              <w:t>Bus Cleaner level 3</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9B84C1C" w14:textId="77777777" w:rsidR="006F1A8B" w:rsidRPr="00923BEB" w:rsidRDefault="006F1A8B" w:rsidP="006F1A8B">
            <w:pPr>
              <w:jc w:val="center"/>
            </w:pPr>
            <w:r w:rsidRPr="00923BEB">
              <w:t>998.90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E4CB221" w14:textId="77777777" w:rsidR="006F1A8B" w:rsidRPr="00923BEB" w:rsidRDefault="006F1A8B" w:rsidP="006F1A8B">
            <w:pPr>
              <w:jc w:val="center"/>
            </w:pPr>
            <w:r w:rsidRPr="00923BEB">
              <w:t>1019.30</w:t>
            </w:r>
          </w:p>
        </w:tc>
      </w:tr>
      <w:tr w:rsidR="006F1A8B" w:rsidRPr="00923BEB" w14:paraId="08ACFC28"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386D8578" w14:textId="77777777" w:rsidR="006F1A8B" w:rsidRPr="00923BEB" w:rsidRDefault="006F1A8B" w:rsidP="006F1A8B">
            <w:pPr>
              <w:ind w:right="-57"/>
            </w:pPr>
            <w:r w:rsidRPr="00923BEB">
              <w:t>Bus Cleaner level 4</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CA62708" w14:textId="77777777" w:rsidR="006F1A8B" w:rsidRPr="00923BEB" w:rsidRDefault="006F1A8B" w:rsidP="006F1A8B">
            <w:pPr>
              <w:jc w:val="center"/>
            </w:pPr>
            <w:r w:rsidRPr="00923BEB">
              <w:t>1,055.80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D3440F6" w14:textId="77777777" w:rsidR="006F1A8B" w:rsidRPr="00923BEB" w:rsidRDefault="006F1A8B" w:rsidP="006F1A8B">
            <w:pPr>
              <w:jc w:val="center"/>
            </w:pPr>
            <w:r w:rsidRPr="00923BEB">
              <w:t>1077.30</w:t>
            </w:r>
          </w:p>
        </w:tc>
      </w:tr>
      <w:tr w:rsidR="006F1A8B" w:rsidRPr="00923BEB" w14:paraId="7EE44A85"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6F523576" w14:textId="7D41E4CB" w:rsidR="006F1A8B" w:rsidRPr="00923BEB" w:rsidRDefault="006F1A8B" w:rsidP="006F1A8B">
            <w:pPr>
              <w:ind w:right="-57"/>
            </w:pPr>
            <w:r w:rsidRPr="00923BEB">
              <w:t xml:space="preserve">Bus Traineeship level I (applicable only for </w:t>
            </w:r>
          </w:p>
        </w:tc>
        <w:tc>
          <w:tcPr>
            <w:tcW w:w="1208" w:type="pct"/>
            <w:tcBorders>
              <w:top w:val="single" w:sz="4" w:space="0" w:color="auto"/>
              <w:left w:val="single" w:sz="4" w:space="0" w:color="auto"/>
              <w:bottom w:val="nil"/>
              <w:right w:val="single" w:sz="4" w:space="0" w:color="auto"/>
            </w:tcBorders>
            <w:shd w:val="clear" w:color="auto" w:fill="auto"/>
          </w:tcPr>
          <w:p w14:paraId="3FD9F324" w14:textId="2B2ECAF6" w:rsidR="006F1A8B" w:rsidRPr="00923BEB" w:rsidRDefault="006F1A8B" w:rsidP="006F1A8B">
            <w:pPr>
              <w:jc w:val="center"/>
            </w:pPr>
            <w:r w:rsidRPr="00923BEB">
              <w:t>1,015.90</w:t>
            </w:r>
          </w:p>
        </w:tc>
        <w:tc>
          <w:tcPr>
            <w:tcW w:w="1208" w:type="pct"/>
            <w:tcBorders>
              <w:top w:val="single" w:sz="4" w:space="0" w:color="auto"/>
              <w:left w:val="single" w:sz="4" w:space="0" w:color="auto"/>
              <w:bottom w:val="nil"/>
              <w:right w:val="single" w:sz="4" w:space="0" w:color="auto"/>
            </w:tcBorders>
            <w:shd w:val="clear" w:color="auto" w:fill="auto"/>
          </w:tcPr>
          <w:p w14:paraId="27518EE9" w14:textId="3D2D0A25" w:rsidR="006F1A8B" w:rsidRPr="00923BEB" w:rsidRDefault="006F1A8B" w:rsidP="006F1A8B">
            <w:pPr>
              <w:jc w:val="center"/>
            </w:pPr>
            <w:r w:rsidRPr="00923BEB">
              <w:t>1036.60</w:t>
            </w:r>
          </w:p>
        </w:tc>
      </w:tr>
      <w:tr w:rsidR="006F1A8B" w:rsidRPr="00923BEB" w14:paraId="311D4A3A" w14:textId="77777777" w:rsidTr="004A4847">
        <w:trPr>
          <w:cantSplit/>
        </w:trPr>
        <w:tc>
          <w:tcPr>
            <w:tcW w:w="2585" w:type="pct"/>
            <w:tcBorders>
              <w:top w:val="nil"/>
              <w:left w:val="single" w:sz="4" w:space="0" w:color="auto"/>
              <w:bottom w:val="nil"/>
              <w:right w:val="single" w:sz="4" w:space="0" w:color="auto"/>
            </w:tcBorders>
            <w:shd w:val="clear" w:color="auto" w:fill="auto"/>
          </w:tcPr>
          <w:p w14:paraId="170BD445" w14:textId="03B89D5B" w:rsidR="006F1A8B" w:rsidRPr="00923BEB" w:rsidRDefault="006F1A8B" w:rsidP="006F1A8B">
            <w:pPr>
              <w:ind w:right="-57"/>
            </w:pPr>
            <w:r w:rsidRPr="00923BEB">
              <w:t>Trainees who commence</w:t>
            </w:r>
            <w:r>
              <w:t xml:space="preserve"> </w:t>
            </w:r>
            <w:r w:rsidRPr="00923BEB">
              <w:t xml:space="preserve">before </w:t>
            </w:r>
            <w:r>
              <w:t>1</w:t>
            </w:r>
            <w:r w:rsidRPr="00923BEB">
              <w:t xml:space="preserve"> January 20</w:t>
            </w:r>
            <w:r>
              <w:t>1</w:t>
            </w:r>
            <w:r w:rsidRPr="00923BEB">
              <w:t>2</w:t>
            </w:r>
          </w:p>
        </w:tc>
        <w:tc>
          <w:tcPr>
            <w:tcW w:w="1208" w:type="pct"/>
            <w:tcBorders>
              <w:top w:val="nil"/>
              <w:left w:val="single" w:sz="4" w:space="0" w:color="auto"/>
              <w:bottom w:val="nil"/>
              <w:right w:val="single" w:sz="4" w:space="0" w:color="auto"/>
            </w:tcBorders>
            <w:shd w:val="clear" w:color="auto" w:fill="auto"/>
          </w:tcPr>
          <w:p w14:paraId="3BDB0999" w14:textId="04BB6A26" w:rsidR="006F1A8B" w:rsidRPr="00923BEB" w:rsidRDefault="006F1A8B" w:rsidP="006F1A8B">
            <w:pPr>
              <w:jc w:val="center"/>
            </w:pPr>
          </w:p>
        </w:tc>
        <w:tc>
          <w:tcPr>
            <w:tcW w:w="1208" w:type="pct"/>
            <w:tcBorders>
              <w:top w:val="nil"/>
              <w:left w:val="single" w:sz="4" w:space="0" w:color="auto"/>
              <w:bottom w:val="nil"/>
              <w:right w:val="single" w:sz="4" w:space="0" w:color="auto"/>
            </w:tcBorders>
            <w:shd w:val="clear" w:color="auto" w:fill="auto"/>
          </w:tcPr>
          <w:p w14:paraId="5D0C04B4" w14:textId="70F1BBB8" w:rsidR="006F1A8B" w:rsidRPr="00923BEB" w:rsidRDefault="006F1A8B" w:rsidP="006F1A8B">
            <w:pPr>
              <w:jc w:val="center"/>
            </w:pPr>
          </w:p>
        </w:tc>
      </w:tr>
      <w:tr w:rsidR="006F1A8B" w:rsidRPr="00923BEB" w14:paraId="3C954072"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0ADAAEE3" w14:textId="0AE23D0B" w:rsidR="006F1A8B" w:rsidRPr="00923BEB" w:rsidRDefault="006F1A8B" w:rsidP="006F1A8B">
            <w:pPr>
              <w:ind w:right="-57"/>
            </w:pPr>
            <w:r w:rsidRPr="00923BEB">
              <w:t xml:space="preserve">Bus Traineeship level 2 (applicable only </w:t>
            </w:r>
            <w:r w:rsidR="00CE1E7D" w:rsidRPr="00923BEB">
              <w:t xml:space="preserve">for </w:t>
            </w:r>
          </w:p>
        </w:tc>
        <w:tc>
          <w:tcPr>
            <w:tcW w:w="1208" w:type="pct"/>
            <w:tcBorders>
              <w:top w:val="single" w:sz="4" w:space="0" w:color="auto"/>
              <w:left w:val="single" w:sz="4" w:space="0" w:color="auto"/>
              <w:bottom w:val="nil"/>
              <w:right w:val="single" w:sz="4" w:space="0" w:color="auto"/>
            </w:tcBorders>
            <w:shd w:val="clear" w:color="auto" w:fill="auto"/>
          </w:tcPr>
          <w:p w14:paraId="0273F331" w14:textId="7158092E" w:rsidR="006F1A8B" w:rsidRPr="00923BEB" w:rsidRDefault="006F1A8B" w:rsidP="006F1A8B">
            <w:pPr>
              <w:jc w:val="center"/>
            </w:pPr>
            <w:r w:rsidRPr="00923BEB">
              <w:t>1,096.70</w:t>
            </w:r>
          </w:p>
        </w:tc>
        <w:tc>
          <w:tcPr>
            <w:tcW w:w="1208" w:type="pct"/>
            <w:tcBorders>
              <w:top w:val="single" w:sz="4" w:space="0" w:color="auto"/>
              <w:left w:val="single" w:sz="4" w:space="0" w:color="auto"/>
              <w:bottom w:val="nil"/>
              <w:right w:val="single" w:sz="4" w:space="0" w:color="auto"/>
            </w:tcBorders>
            <w:shd w:val="clear" w:color="auto" w:fill="auto"/>
          </w:tcPr>
          <w:p w14:paraId="35453F2C" w14:textId="59650F3D" w:rsidR="006F1A8B" w:rsidRPr="00923BEB" w:rsidRDefault="006F1A8B" w:rsidP="006F1A8B">
            <w:pPr>
              <w:jc w:val="center"/>
            </w:pPr>
            <w:r w:rsidRPr="00923BEB">
              <w:t>1119.10</w:t>
            </w:r>
          </w:p>
        </w:tc>
      </w:tr>
      <w:tr w:rsidR="006F1A8B" w:rsidRPr="00923BEB" w14:paraId="60DECDD7" w14:textId="77777777" w:rsidTr="004A4847">
        <w:trPr>
          <w:cantSplit/>
        </w:trPr>
        <w:tc>
          <w:tcPr>
            <w:tcW w:w="2585" w:type="pct"/>
            <w:tcBorders>
              <w:top w:val="nil"/>
              <w:left w:val="single" w:sz="4" w:space="0" w:color="auto"/>
              <w:bottom w:val="nil"/>
              <w:right w:val="single" w:sz="4" w:space="0" w:color="auto"/>
            </w:tcBorders>
            <w:shd w:val="clear" w:color="auto" w:fill="auto"/>
          </w:tcPr>
          <w:p w14:paraId="44D62E81" w14:textId="62E1C8D3" w:rsidR="006F1A8B" w:rsidRPr="00923BEB" w:rsidRDefault="006F1A8B" w:rsidP="006F1A8B">
            <w:pPr>
              <w:ind w:right="-57"/>
            </w:pPr>
            <w:r w:rsidRPr="00923BEB">
              <w:t xml:space="preserve">Trainees who commence before </w:t>
            </w:r>
            <w:r>
              <w:t xml:space="preserve">1 </w:t>
            </w:r>
            <w:r w:rsidRPr="00923BEB">
              <w:t>January 2012</w:t>
            </w:r>
          </w:p>
        </w:tc>
        <w:tc>
          <w:tcPr>
            <w:tcW w:w="1208" w:type="pct"/>
            <w:tcBorders>
              <w:top w:val="nil"/>
              <w:left w:val="single" w:sz="4" w:space="0" w:color="auto"/>
              <w:bottom w:val="nil"/>
              <w:right w:val="single" w:sz="4" w:space="0" w:color="auto"/>
            </w:tcBorders>
            <w:shd w:val="clear" w:color="auto" w:fill="auto"/>
          </w:tcPr>
          <w:p w14:paraId="67C2E394" w14:textId="08E5575D" w:rsidR="006F1A8B" w:rsidRPr="00923BEB" w:rsidRDefault="006F1A8B" w:rsidP="006F1A8B">
            <w:pPr>
              <w:jc w:val="center"/>
            </w:pPr>
          </w:p>
        </w:tc>
        <w:tc>
          <w:tcPr>
            <w:tcW w:w="1208" w:type="pct"/>
            <w:tcBorders>
              <w:top w:val="nil"/>
              <w:left w:val="single" w:sz="4" w:space="0" w:color="auto"/>
              <w:bottom w:val="nil"/>
              <w:right w:val="single" w:sz="4" w:space="0" w:color="auto"/>
            </w:tcBorders>
            <w:shd w:val="clear" w:color="auto" w:fill="auto"/>
          </w:tcPr>
          <w:p w14:paraId="3AA18101" w14:textId="54B6EE6B" w:rsidR="006F1A8B" w:rsidRPr="00923BEB" w:rsidRDefault="006F1A8B" w:rsidP="006F1A8B">
            <w:pPr>
              <w:jc w:val="center"/>
            </w:pPr>
          </w:p>
        </w:tc>
      </w:tr>
      <w:tr w:rsidR="006F1A8B" w:rsidRPr="00923BEB" w14:paraId="1C205DFC"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49955A79" w14:textId="77777777" w:rsidR="006F1A8B" w:rsidRPr="00923BEB" w:rsidRDefault="006F1A8B" w:rsidP="006F1A8B">
            <w:pPr>
              <w:ind w:right="-57"/>
            </w:pPr>
            <w:r w:rsidRPr="00923BEB">
              <w:t>Shed Driver</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1BCC268" w14:textId="77777777" w:rsidR="006F1A8B" w:rsidRPr="00923BEB" w:rsidRDefault="006F1A8B" w:rsidP="006F1A8B">
            <w:pPr>
              <w:jc w:val="center"/>
            </w:pPr>
            <w:r w:rsidRPr="00923BEB">
              <w:t>1,150.00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17AB938" w14:textId="77777777" w:rsidR="006F1A8B" w:rsidRPr="00923BEB" w:rsidRDefault="006F1A8B" w:rsidP="006F1A8B">
            <w:pPr>
              <w:jc w:val="center"/>
            </w:pPr>
            <w:r w:rsidRPr="00923BEB">
              <w:t>1173.50</w:t>
            </w:r>
          </w:p>
        </w:tc>
      </w:tr>
      <w:tr w:rsidR="006F1A8B" w:rsidRPr="00923BEB" w14:paraId="2B4059E5"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20C23F5A" w14:textId="182FC740" w:rsidR="006F1A8B" w:rsidRPr="00923BEB" w:rsidRDefault="006F1A8B" w:rsidP="006F1A8B">
            <w:pPr>
              <w:ind w:right="-57"/>
            </w:pPr>
            <w:r w:rsidRPr="00923BEB">
              <w:t>Customer Service</w:t>
            </w:r>
            <w:r>
              <w:t xml:space="preserve"> </w:t>
            </w:r>
            <w:r w:rsidRPr="00923BEB">
              <w:t xml:space="preserve">Coordinator level </w:t>
            </w:r>
            <w:r>
              <w:t>1</w:t>
            </w:r>
          </w:p>
        </w:tc>
        <w:tc>
          <w:tcPr>
            <w:tcW w:w="1208" w:type="pct"/>
            <w:tcBorders>
              <w:top w:val="single" w:sz="4" w:space="0" w:color="auto"/>
              <w:left w:val="single" w:sz="4" w:space="0" w:color="auto"/>
              <w:bottom w:val="nil"/>
              <w:right w:val="single" w:sz="4" w:space="0" w:color="auto"/>
            </w:tcBorders>
            <w:shd w:val="clear" w:color="auto" w:fill="auto"/>
          </w:tcPr>
          <w:p w14:paraId="57051904" w14:textId="77777777" w:rsidR="006F1A8B" w:rsidRPr="00923BEB" w:rsidRDefault="006F1A8B" w:rsidP="006F1A8B">
            <w:pPr>
              <w:jc w:val="center"/>
            </w:pPr>
            <w:r w:rsidRPr="00923BEB">
              <w:t>1,243.40</w:t>
            </w:r>
          </w:p>
        </w:tc>
        <w:tc>
          <w:tcPr>
            <w:tcW w:w="1208" w:type="pct"/>
            <w:tcBorders>
              <w:top w:val="single" w:sz="4" w:space="0" w:color="auto"/>
              <w:left w:val="single" w:sz="4" w:space="0" w:color="auto"/>
              <w:bottom w:val="nil"/>
              <w:right w:val="single" w:sz="4" w:space="0" w:color="auto"/>
            </w:tcBorders>
            <w:shd w:val="clear" w:color="auto" w:fill="auto"/>
          </w:tcPr>
          <w:p w14:paraId="799D8691" w14:textId="77777777" w:rsidR="006F1A8B" w:rsidRPr="00923BEB" w:rsidRDefault="006F1A8B" w:rsidP="006F1A8B">
            <w:pPr>
              <w:jc w:val="center"/>
            </w:pPr>
            <w:r w:rsidRPr="00923BEB">
              <w:t>1268.80</w:t>
            </w:r>
          </w:p>
        </w:tc>
      </w:tr>
      <w:tr w:rsidR="006F1A8B" w:rsidRPr="00923BEB" w14:paraId="71BFB748"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15ACDB64" w14:textId="77777777" w:rsidR="006F1A8B" w:rsidRPr="00923BEB" w:rsidRDefault="006F1A8B" w:rsidP="006F1A8B">
            <w:pPr>
              <w:ind w:right="-57"/>
            </w:pPr>
            <w:r w:rsidRPr="00923BEB">
              <w:t>Airport Coordinator</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3693A3C" w14:textId="77777777" w:rsidR="006F1A8B" w:rsidRPr="00923BEB" w:rsidRDefault="006F1A8B" w:rsidP="006F1A8B">
            <w:pPr>
              <w:jc w:val="center"/>
            </w:pPr>
            <w:r w:rsidRPr="00923BEB">
              <w:t>1,207.70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6EBDE66" w14:textId="77777777" w:rsidR="006F1A8B" w:rsidRPr="00923BEB" w:rsidRDefault="006F1A8B" w:rsidP="006F1A8B">
            <w:pPr>
              <w:jc w:val="center"/>
            </w:pPr>
            <w:r w:rsidRPr="00923BEB">
              <w:t>1232.30</w:t>
            </w:r>
          </w:p>
        </w:tc>
      </w:tr>
      <w:tr w:rsidR="006F1A8B" w:rsidRPr="00923BEB" w14:paraId="077C2AD6"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62E74941" w14:textId="77777777" w:rsidR="006F1A8B" w:rsidRPr="00923BEB" w:rsidRDefault="006F1A8B" w:rsidP="006F1A8B">
            <w:pPr>
              <w:ind w:right="-57"/>
            </w:pPr>
            <w:r w:rsidRPr="00923BEB">
              <w:t>Customer Service Liaison (Kiosk)</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DF22571" w14:textId="77777777" w:rsidR="006F1A8B" w:rsidRPr="00923BEB" w:rsidRDefault="006F1A8B" w:rsidP="006F1A8B">
            <w:pPr>
              <w:jc w:val="center"/>
            </w:pPr>
            <w:r w:rsidRPr="00923BEB">
              <w:t>1,207.70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D93504B" w14:textId="77777777" w:rsidR="006F1A8B" w:rsidRPr="00923BEB" w:rsidRDefault="006F1A8B" w:rsidP="006F1A8B">
            <w:pPr>
              <w:jc w:val="center"/>
            </w:pPr>
            <w:r w:rsidRPr="00923BEB">
              <w:t>1232.30</w:t>
            </w:r>
          </w:p>
        </w:tc>
      </w:tr>
      <w:tr w:rsidR="006F1A8B" w:rsidRPr="00923BEB" w14:paraId="7994221B" w14:textId="77777777" w:rsidTr="004A4847">
        <w:trPr>
          <w:cantSplit/>
        </w:trPr>
        <w:tc>
          <w:tcPr>
            <w:tcW w:w="2585" w:type="pct"/>
            <w:tcBorders>
              <w:top w:val="single" w:sz="4" w:space="0" w:color="auto"/>
              <w:left w:val="single" w:sz="4" w:space="0" w:color="auto"/>
              <w:bottom w:val="nil"/>
              <w:right w:val="single" w:sz="4" w:space="0" w:color="auto"/>
            </w:tcBorders>
            <w:shd w:val="clear" w:color="auto" w:fill="auto"/>
          </w:tcPr>
          <w:p w14:paraId="41840233" w14:textId="390F34FD" w:rsidR="006F1A8B" w:rsidRPr="00923BEB" w:rsidRDefault="006F1A8B" w:rsidP="006F1A8B">
            <w:pPr>
              <w:ind w:right="-57"/>
            </w:pPr>
            <w:r w:rsidRPr="00923BEB">
              <w:t>Customer Service Liaison</w:t>
            </w:r>
            <w:r>
              <w:t xml:space="preserve"> </w:t>
            </w:r>
            <w:r w:rsidRPr="00923BEB">
              <w:t>(Explorer)</w:t>
            </w:r>
          </w:p>
        </w:tc>
        <w:tc>
          <w:tcPr>
            <w:tcW w:w="1208" w:type="pct"/>
            <w:tcBorders>
              <w:top w:val="single" w:sz="4" w:space="0" w:color="auto"/>
              <w:left w:val="single" w:sz="4" w:space="0" w:color="auto"/>
              <w:bottom w:val="nil"/>
              <w:right w:val="single" w:sz="4" w:space="0" w:color="auto"/>
            </w:tcBorders>
            <w:shd w:val="clear" w:color="auto" w:fill="auto"/>
          </w:tcPr>
          <w:p w14:paraId="005529AF" w14:textId="77777777" w:rsidR="006F1A8B" w:rsidRPr="00923BEB" w:rsidRDefault="006F1A8B" w:rsidP="006F1A8B">
            <w:pPr>
              <w:jc w:val="center"/>
            </w:pPr>
            <w:r w:rsidRPr="00923BEB">
              <w:t>1,207.70</w:t>
            </w:r>
          </w:p>
        </w:tc>
        <w:tc>
          <w:tcPr>
            <w:tcW w:w="1208" w:type="pct"/>
            <w:tcBorders>
              <w:top w:val="single" w:sz="4" w:space="0" w:color="auto"/>
              <w:left w:val="single" w:sz="4" w:space="0" w:color="auto"/>
              <w:bottom w:val="nil"/>
              <w:right w:val="single" w:sz="4" w:space="0" w:color="auto"/>
            </w:tcBorders>
            <w:shd w:val="clear" w:color="auto" w:fill="auto"/>
          </w:tcPr>
          <w:p w14:paraId="5E2CD92B" w14:textId="77777777" w:rsidR="006F1A8B" w:rsidRPr="00923BEB" w:rsidRDefault="006F1A8B" w:rsidP="006F1A8B">
            <w:pPr>
              <w:jc w:val="center"/>
            </w:pPr>
            <w:r w:rsidRPr="00923BEB">
              <w:t>1232.30</w:t>
            </w:r>
          </w:p>
        </w:tc>
      </w:tr>
      <w:tr w:rsidR="006F1A8B" w:rsidRPr="00923BEB" w14:paraId="565D0F4B" w14:textId="77777777" w:rsidTr="004A4847">
        <w:trPr>
          <w:cantSplit/>
        </w:trPr>
        <w:tc>
          <w:tcPr>
            <w:tcW w:w="2585" w:type="pct"/>
            <w:tcBorders>
              <w:top w:val="single" w:sz="4" w:space="0" w:color="auto"/>
              <w:left w:val="single" w:sz="4" w:space="0" w:color="auto"/>
              <w:bottom w:val="single" w:sz="4" w:space="0" w:color="auto"/>
              <w:right w:val="single" w:sz="4" w:space="0" w:color="auto"/>
            </w:tcBorders>
            <w:shd w:val="clear" w:color="auto" w:fill="auto"/>
          </w:tcPr>
          <w:p w14:paraId="6AF3F109" w14:textId="3BD9A463" w:rsidR="006F1A8B" w:rsidRPr="00923BEB" w:rsidRDefault="006F1A8B" w:rsidP="006F1A8B">
            <w:pPr>
              <w:ind w:right="-57"/>
            </w:pPr>
            <w:r w:rsidRPr="00923BEB">
              <w:t>Conductor T</w:t>
            </w:r>
            <w:r>
              <w:t>/</w:t>
            </w:r>
            <w:r w:rsidRPr="00923BEB">
              <w:t>A Sign on Clerk</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B72C535" w14:textId="77777777" w:rsidR="006F1A8B" w:rsidRPr="00923BEB" w:rsidRDefault="006F1A8B" w:rsidP="006F1A8B">
            <w:pPr>
              <w:jc w:val="center"/>
            </w:pPr>
            <w:r w:rsidRPr="00923BEB">
              <w:t>907.90</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D043B1F" w14:textId="77777777" w:rsidR="006F1A8B" w:rsidRPr="00923BEB" w:rsidRDefault="006F1A8B" w:rsidP="006F1A8B">
            <w:pPr>
              <w:jc w:val="center"/>
            </w:pPr>
            <w:r w:rsidRPr="00923BEB">
              <w:t>926.40</w:t>
            </w:r>
          </w:p>
        </w:tc>
      </w:tr>
    </w:tbl>
    <w:p w14:paraId="4B2093FA" w14:textId="77777777" w:rsidR="004734CD" w:rsidRDefault="004734CD" w:rsidP="004734CD"/>
    <w:p w14:paraId="4676C41D" w14:textId="5A07DCAC" w:rsidR="004734CD" w:rsidRDefault="004734CD" w:rsidP="006F1A8B">
      <w:pPr>
        <w:pStyle w:val="BlockIndent1cm"/>
      </w:pPr>
      <w:r w:rsidRPr="004734CD">
        <w:t>*Wage Rates above do not incorporate the Industry Allowance</w:t>
      </w:r>
    </w:p>
    <w:p w14:paraId="39C3392E" w14:textId="77777777" w:rsidR="004734CD" w:rsidRPr="004734CD" w:rsidRDefault="004734CD" w:rsidP="004734CD"/>
    <w:p w14:paraId="11756B63" w14:textId="77777777" w:rsidR="004734CD" w:rsidRPr="004734CD" w:rsidRDefault="004734CD" w:rsidP="006F1A8B">
      <w:pPr>
        <w:pStyle w:val="TableHeading"/>
      </w:pPr>
      <w:r w:rsidRPr="004734CD">
        <w:t>Table 2 - Other Rates and Allowances</w:t>
      </w:r>
    </w:p>
    <w:p w14:paraId="60A567FD" w14:textId="77777777" w:rsidR="004734CD" w:rsidRPr="004734CD" w:rsidRDefault="004734CD" w:rsidP="004734CD"/>
    <w:tbl>
      <w:tblPr>
        <w:tblW w:w="4544"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6"/>
        <w:gridCol w:w="3516"/>
        <w:gridCol w:w="2013"/>
        <w:gridCol w:w="2013"/>
      </w:tblGrid>
      <w:tr w:rsidR="004A4847" w:rsidRPr="00A63202" w14:paraId="1DAD125B" w14:textId="77777777" w:rsidTr="004A4847">
        <w:trPr>
          <w:cantSplit/>
        </w:trPr>
        <w:tc>
          <w:tcPr>
            <w:tcW w:w="477" w:type="pct"/>
            <w:tcBorders>
              <w:top w:val="single" w:sz="4" w:space="0" w:color="auto"/>
              <w:left w:val="single" w:sz="4" w:space="0" w:color="auto"/>
              <w:bottom w:val="nil"/>
              <w:right w:val="single" w:sz="4" w:space="0" w:color="auto"/>
            </w:tcBorders>
            <w:shd w:val="clear" w:color="auto" w:fill="auto"/>
          </w:tcPr>
          <w:p w14:paraId="22D98DE4" w14:textId="77777777" w:rsidR="004734CD" w:rsidRPr="00A63202" w:rsidRDefault="004734CD" w:rsidP="00791B00"/>
        </w:tc>
        <w:tc>
          <w:tcPr>
            <w:tcW w:w="2108" w:type="pct"/>
            <w:tcBorders>
              <w:top w:val="single" w:sz="4" w:space="0" w:color="auto"/>
              <w:left w:val="single" w:sz="4" w:space="0" w:color="auto"/>
              <w:bottom w:val="nil"/>
              <w:right w:val="single" w:sz="4" w:space="0" w:color="auto"/>
            </w:tcBorders>
            <w:shd w:val="clear" w:color="auto" w:fill="auto"/>
          </w:tcPr>
          <w:p w14:paraId="0F251822" w14:textId="75DF630E" w:rsidR="004734CD" w:rsidRPr="00A63202" w:rsidRDefault="004A4847" w:rsidP="004A4847">
            <w:pPr>
              <w:jc w:val="center"/>
            </w:pPr>
            <w:r w:rsidRPr="00A63202">
              <w:t>Description</w:t>
            </w:r>
          </w:p>
        </w:tc>
        <w:tc>
          <w:tcPr>
            <w:tcW w:w="1207" w:type="pct"/>
            <w:tcBorders>
              <w:top w:val="single" w:sz="4" w:space="0" w:color="auto"/>
              <w:left w:val="single" w:sz="4" w:space="0" w:color="auto"/>
              <w:bottom w:val="nil"/>
              <w:right w:val="single" w:sz="4" w:space="0" w:color="auto"/>
            </w:tcBorders>
            <w:shd w:val="clear" w:color="auto" w:fill="auto"/>
          </w:tcPr>
          <w:p w14:paraId="1D1B7B96" w14:textId="5D9E33E8" w:rsidR="004734CD" w:rsidRPr="00A63202" w:rsidRDefault="004734CD" w:rsidP="004A4847">
            <w:pPr>
              <w:ind w:left="-57" w:right="-57"/>
              <w:jc w:val="center"/>
            </w:pPr>
            <w:r w:rsidRPr="00A63202">
              <w:t xml:space="preserve">Effective from the first </w:t>
            </w:r>
          </w:p>
        </w:tc>
        <w:tc>
          <w:tcPr>
            <w:tcW w:w="1207" w:type="pct"/>
            <w:tcBorders>
              <w:top w:val="single" w:sz="4" w:space="0" w:color="auto"/>
              <w:left w:val="single" w:sz="4" w:space="0" w:color="auto"/>
              <w:bottom w:val="nil"/>
              <w:right w:val="single" w:sz="4" w:space="0" w:color="auto"/>
            </w:tcBorders>
            <w:shd w:val="clear" w:color="auto" w:fill="auto"/>
          </w:tcPr>
          <w:p w14:paraId="4260FBEA" w14:textId="4135C086" w:rsidR="004734CD" w:rsidRPr="00A63202" w:rsidRDefault="004734CD" w:rsidP="004A4847">
            <w:pPr>
              <w:ind w:left="-57" w:right="-57"/>
              <w:jc w:val="center"/>
            </w:pPr>
            <w:r w:rsidRPr="00A63202">
              <w:t xml:space="preserve">Effective from the first </w:t>
            </w:r>
          </w:p>
        </w:tc>
      </w:tr>
      <w:tr w:rsidR="004A4847" w:rsidRPr="00A63202" w14:paraId="58241C41" w14:textId="77777777" w:rsidTr="004A4847">
        <w:trPr>
          <w:cantSplit/>
        </w:trPr>
        <w:tc>
          <w:tcPr>
            <w:tcW w:w="477" w:type="pct"/>
            <w:tcBorders>
              <w:top w:val="nil"/>
              <w:left w:val="single" w:sz="4" w:space="0" w:color="auto"/>
              <w:bottom w:val="nil"/>
              <w:right w:val="single" w:sz="4" w:space="0" w:color="auto"/>
            </w:tcBorders>
            <w:shd w:val="clear" w:color="auto" w:fill="auto"/>
          </w:tcPr>
          <w:p w14:paraId="13A5F871" w14:textId="77777777" w:rsidR="004734CD" w:rsidRPr="00A63202" w:rsidRDefault="004734CD" w:rsidP="00791B00"/>
        </w:tc>
        <w:tc>
          <w:tcPr>
            <w:tcW w:w="2108" w:type="pct"/>
            <w:tcBorders>
              <w:top w:val="nil"/>
              <w:left w:val="single" w:sz="4" w:space="0" w:color="auto"/>
              <w:bottom w:val="nil"/>
              <w:right w:val="single" w:sz="4" w:space="0" w:color="auto"/>
            </w:tcBorders>
            <w:shd w:val="clear" w:color="auto" w:fill="auto"/>
          </w:tcPr>
          <w:p w14:paraId="6138B02F" w14:textId="6F9D0540" w:rsidR="004734CD" w:rsidRPr="00A63202" w:rsidRDefault="004734CD" w:rsidP="004A4847">
            <w:pPr>
              <w:jc w:val="center"/>
            </w:pPr>
          </w:p>
        </w:tc>
        <w:tc>
          <w:tcPr>
            <w:tcW w:w="1207" w:type="pct"/>
            <w:tcBorders>
              <w:top w:val="nil"/>
              <w:left w:val="single" w:sz="4" w:space="0" w:color="auto"/>
              <w:bottom w:val="nil"/>
              <w:right w:val="single" w:sz="4" w:space="0" w:color="auto"/>
            </w:tcBorders>
            <w:shd w:val="clear" w:color="auto" w:fill="auto"/>
          </w:tcPr>
          <w:p w14:paraId="56CBF090" w14:textId="5BAB89DB" w:rsidR="004734CD" w:rsidRPr="00A63202" w:rsidRDefault="004A4847" w:rsidP="004A4847">
            <w:pPr>
              <w:ind w:left="-57" w:right="-57"/>
              <w:jc w:val="center"/>
            </w:pPr>
            <w:r w:rsidRPr="00A63202">
              <w:t>full</w:t>
            </w:r>
            <w:r>
              <w:t xml:space="preserve"> </w:t>
            </w:r>
            <w:r w:rsidR="004734CD" w:rsidRPr="00A63202">
              <w:t xml:space="preserve">pay period on or </w:t>
            </w:r>
          </w:p>
        </w:tc>
        <w:tc>
          <w:tcPr>
            <w:tcW w:w="1207" w:type="pct"/>
            <w:tcBorders>
              <w:top w:val="nil"/>
              <w:left w:val="single" w:sz="4" w:space="0" w:color="auto"/>
              <w:bottom w:val="nil"/>
              <w:right w:val="single" w:sz="4" w:space="0" w:color="auto"/>
            </w:tcBorders>
            <w:shd w:val="clear" w:color="auto" w:fill="auto"/>
          </w:tcPr>
          <w:p w14:paraId="68D896F5" w14:textId="63667995" w:rsidR="004734CD" w:rsidRPr="00A63202" w:rsidRDefault="004A4847" w:rsidP="004A4847">
            <w:pPr>
              <w:ind w:left="-57" w:right="-57"/>
              <w:jc w:val="center"/>
            </w:pPr>
            <w:r w:rsidRPr="00A63202">
              <w:t>full</w:t>
            </w:r>
            <w:r>
              <w:t xml:space="preserve"> </w:t>
            </w:r>
            <w:r w:rsidRPr="00A63202">
              <w:t xml:space="preserve">pay period on or </w:t>
            </w:r>
          </w:p>
        </w:tc>
      </w:tr>
      <w:tr w:rsidR="004A4847" w:rsidRPr="00A63202" w14:paraId="7FF51B39" w14:textId="77777777" w:rsidTr="004A4847">
        <w:trPr>
          <w:cantSplit/>
        </w:trPr>
        <w:tc>
          <w:tcPr>
            <w:tcW w:w="477" w:type="pct"/>
            <w:tcBorders>
              <w:top w:val="nil"/>
              <w:left w:val="single" w:sz="4" w:space="0" w:color="auto"/>
              <w:bottom w:val="single" w:sz="4" w:space="0" w:color="auto"/>
              <w:right w:val="single" w:sz="4" w:space="0" w:color="auto"/>
            </w:tcBorders>
            <w:shd w:val="clear" w:color="auto" w:fill="auto"/>
          </w:tcPr>
          <w:p w14:paraId="7C5CCEFD" w14:textId="77777777" w:rsidR="004734CD" w:rsidRPr="00A63202" w:rsidRDefault="004734CD" w:rsidP="00791B00"/>
        </w:tc>
        <w:tc>
          <w:tcPr>
            <w:tcW w:w="2108" w:type="pct"/>
            <w:tcBorders>
              <w:top w:val="nil"/>
              <w:left w:val="single" w:sz="4" w:space="0" w:color="auto"/>
              <w:bottom w:val="single" w:sz="4" w:space="0" w:color="auto"/>
              <w:right w:val="single" w:sz="4" w:space="0" w:color="auto"/>
            </w:tcBorders>
            <w:shd w:val="clear" w:color="auto" w:fill="auto"/>
          </w:tcPr>
          <w:p w14:paraId="0F7DB6E6" w14:textId="77777777" w:rsidR="004734CD" w:rsidRPr="00A63202" w:rsidRDefault="004734CD" w:rsidP="004A4847">
            <w:pPr>
              <w:jc w:val="center"/>
            </w:pPr>
          </w:p>
        </w:tc>
        <w:tc>
          <w:tcPr>
            <w:tcW w:w="1207" w:type="pct"/>
            <w:tcBorders>
              <w:top w:val="nil"/>
              <w:left w:val="single" w:sz="4" w:space="0" w:color="auto"/>
              <w:bottom w:val="single" w:sz="4" w:space="0" w:color="auto"/>
              <w:right w:val="single" w:sz="4" w:space="0" w:color="auto"/>
            </w:tcBorders>
            <w:shd w:val="clear" w:color="auto" w:fill="auto"/>
          </w:tcPr>
          <w:p w14:paraId="64DE5A1D" w14:textId="5ED4774A" w:rsidR="004734CD" w:rsidRPr="00A63202" w:rsidRDefault="004A4847" w:rsidP="004A4847">
            <w:pPr>
              <w:ind w:left="-57" w:right="-57"/>
              <w:jc w:val="center"/>
            </w:pPr>
            <w:r w:rsidRPr="00A63202">
              <w:t>after</w:t>
            </w:r>
            <w:r>
              <w:t xml:space="preserve"> </w:t>
            </w:r>
            <w:r w:rsidRPr="00A63202">
              <w:t>1/01/2021</w:t>
            </w:r>
          </w:p>
        </w:tc>
        <w:tc>
          <w:tcPr>
            <w:tcW w:w="1207" w:type="pct"/>
            <w:tcBorders>
              <w:top w:val="nil"/>
              <w:left w:val="single" w:sz="4" w:space="0" w:color="auto"/>
              <w:bottom w:val="single" w:sz="4" w:space="0" w:color="auto"/>
              <w:right w:val="single" w:sz="4" w:space="0" w:color="auto"/>
            </w:tcBorders>
            <w:shd w:val="clear" w:color="auto" w:fill="auto"/>
          </w:tcPr>
          <w:p w14:paraId="4133EC18" w14:textId="6D532763" w:rsidR="004734CD" w:rsidRPr="00A63202" w:rsidRDefault="004A4847" w:rsidP="004A4847">
            <w:pPr>
              <w:ind w:left="-57" w:right="-57"/>
              <w:jc w:val="center"/>
            </w:pPr>
            <w:r w:rsidRPr="00A63202">
              <w:t>after</w:t>
            </w:r>
            <w:r>
              <w:t xml:space="preserve"> </w:t>
            </w:r>
            <w:r w:rsidRPr="00A63202">
              <w:t>1/01/2022</w:t>
            </w:r>
          </w:p>
        </w:tc>
      </w:tr>
      <w:tr w:rsidR="004A4847" w:rsidRPr="00A63202" w14:paraId="28E383B9" w14:textId="77777777" w:rsidTr="004A4847">
        <w:trPr>
          <w:cantSplit/>
        </w:trPr>
        <w:tc>
          <w:tcPr>
            <w:tcW w:w="477" w:type="pct"/>
            <w:tcBorders>
              <w:top w:val="single" w:sz="4" w:space="0" w:color="auto"/>
              <w:left w:val="single" w:sz="4" w:space="0" w:color="auto"/>
              <w:bottom w:val="single" w:sz="4" w:space="0" w:color="auto"/>
              <w:right w:val="single" w:sz="4" w:space="0" w:color="auto"/>
            </w:tcBorders>
            <w:shd w:val="clear" w:color="auto" w:fill="auto"/>
          </w:tcPr>
          <w:p w14:paraId="7D466C8F" w14:textId="77777777" w:rsidR="004734CD" w:rsidRPr="00A63202" w:rsidRDefault="004734CD" w:rsidP="00791B00"/>
        </w:tc>
        <w:tc>
          <w:tcPr>
            <w:tcW w:w="2108" w:type="pct"/>
            <w:tcBorders>
              <w:top w:val="single" w:sz="4" w:space="0" w:color="auto"/>
              <w:left w:val="single" w:sz="4" w:space="0" w:color="auto"/>
              <w:bottom w:val="single" w:sz="4" w:space="0" w:color="auto"/>
              <w:right w:val="single" w:sz="4" w:space="0" w:color="auto"/>
            </w:tcBorders>
            <w:shd w:val="clear" w:color="auto" w:fill="auto"/>
          </w:tcPr>
          <w:p w14:paraId="11BFB159" w14:textId="77777777" w:rsidR="004734CD" w:rsidRPr="00A63202" w:rsidRDefault="004734CD" w:rsidP="00791B00"/>
        </w:tc>
        <w:tc>
          <w:tcPr>
            <w:tcW w:w="1207" w:type="pct"/>
            <w:tcBorders>
              <w:top w:val="single" w:sz="4" w:space="0" w:color="auto"/>
              <w:left w:val="single" w:sz="4" w:space="0" w:color="auto"/>
              <w:bottom w:val="single" w:sz="4" w:space="0" w:color="auto"/>
              <w:right w:val="single" w:sz="4" w:space="0" w:color="auto"/>
            </w:tcBorders>
            <w:shd w:val="clear" w:color="auto" w:fill="auto"/>
          </w:tcPr>
          <w:p w14:paraId="02035F81" w14:textId="77777777" w:rsidR="004734CD" w:rsidRPr="00A63202" w:rsidRDefault="004734CD" w:rsidP="004A4847">
            <w:pPr>
              <w:ind w:left="-57" w:right="-57"/>
              <w:jc w:val="center"/>
            </w:pPr>
            <w:r w:rsidRPr="00A63202">
              <w:t>0.3% increase</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67385DE" w14:textId="77777777" w:rsidR="004734CD" w:rsidRPr="00A63202" w:rsidRDefault="004734CD" w:rsidP="004A4847">
            <w:pPr>
              <w:ind w:left="-57" w:right="-57"/>
              <w:jc w:val="center"/>
            </w:pPr>
            <w:r w:rsidRPr="00A63202">
              <w:t>2.04% increase</w:t>
            </w:r>
          </w:p>
        </w:tc>
      </w:tr>
      <w:tr w:rsidR="004A4847" w:rsidRPr="00A63202" w14:paraId="107CCEC0" w14:textId="77777777" w:rsidTr="004A4847">
        <w:trPr>
          <w:cantSplit/>
        </w:trPr>
        <w:tc>
          <w:tcPr>
            <w:tcW w:w="477" w:type="pct"/>
            <w:tcBorders>
              <w:top w:val="single" w:sz="4" w:space="0" w:color="auto"/>
              <w:left w:val="single" w:sz="4" w:space="0" w:color="auto"/>
              <w:bottom w:val="nil"/>
              <w:right w:val="single" w:sz="4" w:space="0" w:color="auto"/>
            </w:tcBorders>
            <w:shd w:val="clear" w:color="auto" w:fill="auto"/>
          </w:tcPr>
          <w:p w14:paraId="3B41142B" w14:textId="77777777" w:rsidR="004734CD" w:rsidRPr="00A63202" w:rsidRDefault="004734CD" w:rsidP="00791B00"/>
        </w:tc>
        <w:tc>
          <w:tcPr>
            <w:tcW w:w="2108" w:type="pct"/>
            <w:tcBorders>
              <w:top w:val="single" w:sz="4" w:space="0" w:color="auto"/>
              <w:left w:val="single" w:sz="4" w:space="0" w:color="auto"/>
              <w:bottom w:val="nil"/>
              <w:right w:val="single" w:sz="4" w:space="0" w:color="auto"/>
            </w:tcBorders>
            <w:shd w:val="clear" w:color="auto" w:fill="auto"/>
          </w:tcPr>
          <w:p w14:paraId="4AAF85CB" w14:textId="77777777" w:rsidR="004734CD" w:rsidRPr="00A63202" w:rsidRDefault="004734CD" w:rsidP="00791B00"/>
        </w:tc>
        <w:tc>
          <w:tcPr>
            <w:tcW w:w="1207" w:type="pct"/>
            <w:tcBorders>
              <w:top w:val="single" w:sz="4" w:space="0" w:color="auto"/>
              <w:left w:val="single" w:sz="4" w:space="0" w:color="auto"/>
              <w:bottom w:val="nil"/>
              <w:right w:val="single" w:sz="4" w:space="0" w:color="auto"/>
            </w:tcBorders>
            <w:shd w:val="clear" w:color="auto" w:fill="auto"/>
          </w:tcPr>
          <w:p w14:paraId="4AACA439" w14:textId="77777777" w:rsidR="004734CD" w:rsidRPr="00A63202" w:rsidRDefault="004734CD" w:rsidP="004A4847">
            <w:pPr>
              <w:ind w:left="-57" w:right="-57"/>
              <w:jc w:val="center"/>
            </w:pPr>
          </w:p>
        </w:tc>
        <w:tc>
          <w:tcPr>
            <w:tcW w:w="1207" w:type="pct"/>
            <w:tcBorders>
              <w:top w:val="single" w:sz="4" w:space="0" w:color="auto"/>
              <w:left w:val="single" w:sz="4" w:space="0" w:color="auto"/>
              <w:bottom w:val="nil"/>
              <w:right w:val="single" w:sz="4" w:space="0" w:color="auto"/>
            </w:tcBorders>
            <w:shd w:val="clear" w:color="auto" w:fill="auto"/>
          </w:tcPr>
          <w:p w14:paraId="5C24F2A0" w14:textId="77777777" w:rsidR="004734CD" w:rsidRPr="00A63202" w:rsidRDefault="004734CD" w:rsidP="004A4847">
            <w:pPr>
              <w:ind w:left="-57" w:right="-57"/>
              <w:jc w:val="center"/>
            </w:pPr>
          </w:p>
        </w:tc>
      </w:tr>
      <w:tr w:rsidR="004A4847" w:rsidRPr="00A63202" w14:paraId="6AB5C1B7" w14:textId="77777777" w:rsidTr="004A4847">
        <w:trPr>
          <w:cantSplit/>
        </w:trPr>
        <w:tc>
          <w:tcPr>
            <w:tcW w:w="477" w:type="pct"/>
            <w:tcBorders>
              <w:top w:val="nil"/>
              <w:left w:val="single" w:sz="4" w:space="0" w:color="auto"/>
              <w:bottom w:val="single" w:sz="4" w:space="0" w:color="auto"/>
              <w:right w:val="single" w:sz="4" w:space="0" w:color="auto"/>
            </w:tcBorders>
            <w:shd w:val="clear" w:color="auto" w:fill="auto"/>
          </w:tcPr>
          <w:p w14:paraId="1F146170" w14:textId="0BEA5C4B" w:rsidR="004734CD" w:rsidRPr="00A63202" w:rsidRDefault="004734CD" w:rsidP="00791B00">
            <w:r w:rsidRPr="00A63202">
              <w:t xml:space="preserve">Item </w:t>
            </w:r>
            <w:r w:rsidR="004A4847">
              <w:t>1</w:t>
            </w:r>
          </w:p>
        </w:tc>
        <w:tc>
          <w:tcPr>
            <w:tcW w:w="2108" w:type="pct"/>
            <w:tcBorders>
              <w:top w:val="nil"/>
              <w:left w:val="single" w:sz="4" w:space="0" w:color="auto"/>
              <w:bottom w:val="single" w:sz="4" w:space="0" w:color="auto"/>
              <w:right w:val="single" w:sz="4" w:space="0" w:color="auto"/>
            </w:tcBorders>
            <w:shd w:val="clear" w:color="auto" w:fill="auto"/>
          </w:tcPr>
          <w:p w14:paraId="6BEAB650" w14:textId="77777777" w:rsidR="004734CD" w:rsidRPr="00A63202" w:rsidRDefault="004734CD" w:rsidP="00791B00">
            <w:r w:rsidRPr="00A63202">
              <w:t>Industry Allowance</w:t>
            </w:r>
          </w:p>
        </w:tc>
        <w:tc>
          <w:tcPr>
            <w:tcW w:w="1207" w:type="pct"/>
            <w:tcBorders>
              <w:top w:val="nil"/>
              <w:left w:val="single" w:sz="4" w:space="0" w:color="auto"/>
              <w:bottom w:val="single" w:sz="4" w:space="0" w:color="auto"/>
              <w:right w:val="single" w:sz="4" w:space="0" w:color="auto"/>
            </w:tcBorders>
            <w:shd w:val="clear" w:color="auto" w:fill="auto"/>
          </w:tcPr>
          <w:p w14:paraId="266116D9" w14:textId="58034FA8" w:rsidR="004734CD" w:rsidRPr="00A63202" w:rsidRDefault="004734CD" w:rsidP="004A4847">
            <w:pPr>
              <w:ind w:left="-57" w:right="-57"/>
              <w:jc w:val="center"/>
            </w:pPr>
            <w:r w:rsidRPr="00A63202">
              <w:t>$52.90</w:t>
            </w:r>
          </w:p>
        </w:tc>
        <w:tc>
          <w:tcPr>
            <w:tcW w:w="1207" w:type="pct"/>
            <w:tcBorders>
              <w:top w:val="nil"/>
              <w:left w:val="single" w:sz="4" w:space="0" w:color="auto"/>
              <w:bottom w:val="single" w:sz="4" w:space="0" w:color="auto"/>
              <w:right w:val="single" w:sz="4" w:space="0" w:color="auto"/>
            </w:tcBorders>
            <w:shd w:val="clear" w:color="auto" w:fill="auto"/>
          </w:tcPr>
          <w:p w14:paraId="75B63901" w14:textId="77777777" w:rsidR="004734CD" w:rsidRPr="00A63202" w:rsidRDefault="004734CD" w:rsidP="004A4847">
            <w:pPr>
              <w:ind w:left="-57" w:right="-57"/>
              <w:jc w:val="center"/>
            </w:pPr>
            <w:r w:rsidRPr="00A63202">
              <w:t>$54.00</w:t>
            </w:r>
          </w:p>
        </w:tc>
      </w:tr>
      <w:tr w:rsidR="004A4847" w:rsidRPr="00A63202" w14:paraId="3DF91A21" w14:textId="77777777" w:rsidTr="004A4847">
        <w:trPr>
          <w:cantSplit/>
        </w:trPr>
        <w:tc>
          <w:tcPr>
            <w:tcW w:w="477" w:type="pct"/>
            <w:tcBorders>
              <w:top w:val="single" w:sz="4" w:space="0" w:color="auto"/>
              <w:left w:val="single" w:sz="4" w:space="0" w:color="auto"/>
              <w:bottom w:val="single" w:sz="4" w:space="0" w:color="auto"/>
              <w:right w:val="single" w:sz="4" w:space="0" w:color="auto"/>
            </w:tcBorders>
            <w:shd w:val="clear" w:color="auto" w:fill="auto"/>
          </w:tcPr>
          <w:p w14:paraId="59D5681D" w14:textId="77777777" w:rsidR="004734CD" w:rsidRPr="00A63202" w:rsidRDefault="004734CD" w:rsidP="00791B00">
            <w:r w:rsidRPr="00A63202">
              <w:t>Item 2</w:t>
            </w:r>
          </w:p>
        </w:tc>
        <w:tc>
          <w:tcPr>
            <w:tcW w:w="2108" w:type="pct"/>
            <w:tcBorders>
              <w:top w:val="single" w:sz="4" w:space="0" w:color="auto"/>
              <w:left w:val="single" w:sz="4" w:space="0" w:color="auto"/>
              <w:bottom w:val="single" w:sz="4" w:space="0" w:color="auto"/>
              <w:right w:val="single" w:sz="4" w:space="0" w:color="auto"/>
            </w:tcBorders>
            <w:shd w:val="clear" w:color="auto" w:fill="auto"/>
          </w:tcPr>
          <w:p w14:paraId="6B080A2F" w14:textId="77777777" w:rsidR="004734CD" w:rsidRPr="00A63202" w:rsidRDefault="004734CD" w:rsidP="00791B00">
            <w:r w:rsidRPr="00A63202">
              <w:t>High Capacity Allowance</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E7B8B43" w14:textId="1213D513" w:rsidR="004734CD" w:rsidRPr="00A63202" w:rsidRDefault="004734CD" w:rsidP="004A4847">
            <w:pPr>
              <w:ind w:left="-57" w:right="-57"/>
              <w:jc w:val="center"/>
            </w:pPr>
            <w:r w:rsidRPr="00A63202">
              <w:t>$22.40</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49A4941" w14:textId="77777777" w:rsidR="004734CD" w:rsidRPr="00A63202" w:rsidRDefault="004734CD" w:rsidP="004A4847">
            <w:pPr>
              <w:ind w:left="-57" w:right="-57"/>
              <w:jc w:val="center"/>
            </w:pPr>
            <w:r w:rsidRPr="00A63202">
              <w:t>$22.90</w:t>
            </w:r>
          </w:p>
        </w:tc>
      </w:tr>
    </w:tbl>
    <w:p w14:paraId="186C43D3" w14:textId="77777777" w:rsidR="004734CD" w:rsidRDefault="004734CD" w:rsidP="004734CD"/>
    <w:p w14:paraId="2325BC64" w14:textId="41D6CBA8" w:rsidR="004734CD" w:rsidRPr="004734CD" w:rsidRDefault="00CE1E7D" w:rsidP="004A4847">
      <w:pPr>
        <w:pStyle w:val="Level2A"/>
      </w:pPr>
      <w:r>
        <w:t>3</w:t>
      </w:r>
      <w:r w:rsidR="004734CD" w:rsidRPr="004734CD">
        <w:t>.</w:t>
      </w:r>
      <w:r w:rsidR="004734CD" w:rsidRPr="004734CD">
        <w:tab/>
        <w:t xml:space="preserve">Delete the Table 5 - </w:t>
      </w:r>
      <w:r w:rsidR="004A4847" w:rsidRPr="004734CD">
        <w:t>Casual Hourly Rates of Pay</w:t>
      </w:r>
      <w:r w:rsidR="004A4847">
        <w:t xml:space="preserve"> </w:t>
      </w:r>
      <w:r w:rsidR="004734CD" w:rsidRPr="004734CD">
        <w:t xml:space="preserve">and insert </w:t>
      </w:r>
      <w:r w:rsidR="004A4847">
        <w:t>in lieu thereof the following:</w:t>
      </w:r>
    </w:p>
    <w:p w14:paraId="79B90D7C" w14:textId="77777777" w:rsidR="004734CD" w:rsidRPr="004734CD" w:rsidRDefault="004734CD" w:rsidP="004734CD"/>
    <w:p w14:paraId="4B4740FD" w14:textId="77777777" w:rsidR="004734CD" w:rsidRPr="004734CD" w:rsidRDefault="004734CD" w:rsidP="004A4847">
      <w:pPr>
        <w:pStyle w:val="TableHeading"/>
      </w:pPr>
      <w:r w:rsidRPr="004734CD">
        <w:t>Table 5 - Casual Hourly Rates of Pay</w:t>
      </w:r>
    </w:p>
    <w:p w14:paraId="78ACC637" w14:textId="77777777" w:rsidR="004734CD" w:rsidRPr="004734CD" w:rsidRDefault="004734CD" w:rsidP="004734CD"/>
    <w:tbl>
      <w:tblPr>
        <w:tblW w:w="4544"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12"/>
        <w:gridCol w:w="2013"/>
        <w:gridCol w:w="2013"/>
      </w:tblGrid>
      <w:tr w:rsidR="004A4847" w:rsidRPr="00FF3746" w14:paraId="53A659FF"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3A5177A8" w14:textId="77777777" w:rsidR="004734CD" w:rsidRPr="00FF3746" w:rsidRDefault="004734CD" w:rsidP="00CE1E7D">
            <w:pPr>
              <w:jc w:val="center"/>
            </w:pPr>
            <w:r w:rsidRPr="00FF3746">
              <w:t>CLASSIFICATION</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62684338" w14:textId="77777777" w:rsidR="004734CD" w:rsidRPr="00FF3746" w:rsidRDefault="004734CD" w:rsidP="004A4847">
            <w:pPr>
              <w:ind w:left="-57" w:right="-57"/>
              <w:jc w:val="center"/>
            </w:pPr>
            <w:r w:rsidRPr="00FF3746">
              <w:t>Hourly rate ($)</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4E7975B" w14:textId="77777777" w:rsidR="004734CD" w:rsidRPr="00FF3746" w:rsidRDefault="004734CD" w:rsidP="004A4847">
            <w:pPr>
              <w:ind w:left="-57" w:right="-57"/>
              <w:jc w:val="center"/>
            </w:pPr>
            <w:r w:rsidRPr="00FF3746">
              <w:t>Hourly rate ($)</w:t>
            </w:r>
          </w:p>
        </w:tc>
      </w:tr>
      <w:tr w:rsidR="004A4847" w:rsidRPr="00FF3746" w14:paraId="11D729CE" w14:textId="77777777" w:rsidTr="00CE1E7D">
        <w:trPr>
          <w:cantSplit/>
        </w:trPr>
        <w:tc>
          <w:tcPr>
            <w:tcW w:w="2586" w:type="pct"/>
            <w:tcBorders>
              <w:top w:val="single" w:sz="4" w:space="0" w:color="auto"/>
              <w:left w:val="single" w:sz="4" w:space="0" w:color="auto"/>
              <w:bottom w:val="nil"/>
              <w:right w:val="single" w:sz="4" w:space="0" w:color="auto"/>
            </w:tcBorders>
            <w:shd w:val="clear" w:color="auto" w:fill="auto"/>
          </w:tcPr>
          <w:p w14:paraId="2FD7609B" w14:textId="77777777" w:rsidR="004734CD" w:rsidRPr="00FF3746" w:rsidRDefault="004734CD" w:rsidP="00791B00"/>
        </w:tc>
        <w:tc>
          <w:tcPr>
            <w:tcW w:w="1207" w:type="pct"/>
            <w:tcBorders>
              <w:top w:val="single" w:sz="4" w:space="0" w:color="auto"/>
              <w:left w:val="single" w:sz="4" w:space="0" w:color="auto"/>
              <w:bottom w:val="nil"/>
              <w:right w:val="single" w:sz="4" w:space="0" w:color="auto"/>
            </w:tcBorders>
            <w:shd w:val="clear" w:color="auto" w:fill="auto"/>
          </w:tcPr>
          <w:p w14:paraId="74A1F365" w14:textId="72BAA408" w:rsidR="004734CD" w:rsidRPr="00FF3746" w:rsidRDefault="004734CD" w:rsidP="004A4847">
            <w:pPr>
              <w:ind w:left="-57" w:right="-57"/>
              <w:jc w:val="center"/>
            </w:pPr>
            <w:r w:rsidRPr="00FF3746">
              <w:t xml:space="preserve">Effective from the first </w:t>
            </w:r>
          </w:p>
        </w:tc>
        <w:tc>
          <w:tcPr>
            <w:tcW w:w="1207" w:type="pct"/>
            <w:tcBorders>
              <w:top w:val="single" w:sz="4" w:space="0" w:color="auto"/>
              <w:left w:val="single" w:sz="4" w:space="0" w:color="auto"/>
              <w:bottom w:val="nil"/>
              <w:right w:val="single" w:sz="4" w:space="0" w:color="auto"/>
            </w:tcBorders>
            <w:shd w:val="clear" w:color="auto" w:fill="auto"/>
          </w:tcPr>
          <w:p w14:paraId="040368C6" w14:textId="49FF2398" w:rsidR="004734CD" w:rsidRPr="00FF3746" w:rsidRDefault="004734CD" w:rsidP="004A4847">
            <w:pPr>
              <w:ind w:left="-57" w:right="-57"/>
              <w:jc w:val="center"/>
            </w:pPr>
            <w:r w:rsidRPr="00FF3746">
              <w:t xml:space="preserve">Effective from the first </w:t>
            </w:r>
          </w:p>
        </w:tc>
      </w:tr>
      <w:tr w:rsidR="004A4847" w:rsidRPr="00FF3746" w14:paraId="76F13E69" w14:textId="77777777" w:rsidTr="00CE1E7D">
        <w:trPr>
          <w:cantSplit/>
        </w:trPr>
        <w:tc>
          <w:tcPr>
            <w:tcW w:w="2586" w:type="pct"/>
            <w:tcBorders>
              <w:top w:val="nil"/>
              <w:left w:val="single" w:sz="4" w:space="0" w:color="auto"/>
              <w:bottom w:val="nil"/>
              <w:right w:val="single" w:sz="4" w:space="0" w:color="auto"/>
            </w:tcBorders>
            <w:shd w:val="clear" w:color="auto" w:fill="auto"/>
          </w:tcPr>
          <w:p w14:paraId="066B8E52" w14:textId="77777777" w:rsidR="004734CD" w:rsidRPr="00FF3746" w:rsidRDefault="004734CD" w:rsidP="00791B00"/>
        </w:tc>
        <w:tc>
          <w:tcPr>
            <w:tcW w:w="1207" w:type="pct"/>
            <w:tcBorders>
              <w:top w:val="nil"/>
              <w:left w:val="single" w:sz="4" w:space="0" w:color="auto"/>
              <w:bottom w:val="nil"/>
              <w:right w:val="single" w:sz="4" w:space="0" w:color="auto"/>
            </w:tcBorders>
            <w:shd w:val="clear" w:color="auto" w:fill="auto"/>
          </w:tcPr>
          <w:p w14:paraId="673F8207" w14:textId="38AAB90B" w:rsidR="004734CD" w:rsidRPr="00FF3746" w:rsidRDefault="00CE1E7D" w:rsidP="004A4847">
            <w:pPr>
              <w:ind w:left="-57" w:right="-57"/>
              <w:jc w:val="center"/>
            </w:pPr>
            <w:r w:rsidRPr="00FF3746">
              <w:t>full pay</w:t>
            </w:r>
            <w:r>
              <w:t xml:space="preserve"> </w:t>
            </w:r>
            <w:r w:rsidR="004734CD" w:rsidRPr="00FF3746">
              <w:t xml:space="preserve">period on or </w:t>
            </w:r>
          </w:p>
        </w:tc>
        <w:tc>
          <w:tcPr>
            <w:tcW w:w="1207" w:type="pct"/>
            <w:tcBorders>
              <w:top w:val="nil"/>
              <w:left w:val="single" w:sz="4" w:space="0" w:color="auto"/>
              <w:bottom w:val="nil"/>
              <w:right w:val="single" w:sz="4" w:space="0" w:color="auto"/>
            </w:tcBorders>
            <w:shd w:val="clear" w:color="auto" w:fill="auto"/>
          </w:tcPr>
          <w:p w14:paraId="0A6C4720" w14:textId="33667EBC" w:rsidR="004734CD" w:rsidRPr="00FF3746" w:rsidRDefault="00CE1E7D" w:rsidP="004A4847">
            <w:pPr>
              <w:ind w:left="-57" w:right="-57"/>
              <w:jc w:val="center"/>
            </w:pPr>
            <w:r w:rsidRPr="00FF3746">
              <w:t>full</w:t>
            </w:r>
            <w:r>
              <w:t xml:space="preserve"> </w:t>
            </w:r>
            <w:r w:rsidR="004734CD" w:rsidRPr="00FF3746">
              <w:t xml:space="preserve">pay period on or </w:t>
            </w:r>
          </w:p>
        </w:tc>
      </w:tr>
      <w:tr w:rsidR="004A4847" w:rsidRPr="00FF3746" w14:paraId="62EBDA4A" w14:textId="77777777" w:rsidTr="00CE1E7D">
        <w:trPr>
          <w:cantSplit/>
        </w:trPr>
        <w:tc>
          <w:tcPr>
            <w:tcW w:w="2586" w:type="pct"/>
            <w:tcBorders>
              <w:top w:val="nil"/>
              <w:left w:val="single" w:sz="4" w:space="0" w:color="auto"/>
              <w:bottom w:val="single" w:sz="4" w:space="0" w:color="auto"/>
              <w:right w:val="single" w:sz="4" w:space="0" w:color="auto"/>
            </w:tcBorders>
            <w:shd w:val="clear" w:color="auto" w:fill="auto"/>
          </w:tcPr>
          <w:p w14:paraId="1FF42D4B" w14:textId="77777777" w:rsidR="004734CD" w:rsidRPr="00FF3746" w:rsidRDefault="004734CD" w:rsidP="00791B00"/>
        </w:tc>
        <w:tc>
          <w:tcPr>
            <w:tcW w:w="1207" w:type="pct"/>
            <w:tcBorders>
              <w:top w:val="nil"/>
              <w:left w:val="single" w:sz="4" w:space="0" w:color="auto"/>
              <w:bottom w:val="single" w:sz="4" w:space="0" w:color="auto"/>
              <w:right w:val="single" w:sz="4" w:space="0" w:color="auto"/>
            </w:tcBorders>
            <w:shd w:val="clear" w:color="auto" w:fill="auto"/>
          </w:tcPr>
          <w:p w14:paraId="757A667E" w14:textId="22B52C67" w:rsidR="004734CD" w:rsidRPr="00FF3746" w:rsidRDefault="00CE1E7D" w:rsidP="004A4847">
            <w:pPr>
              <w:ind w:left="-57" w:right="-57"/>
              <w:jc w:val="center"/>
            </w:pPr>
            <w:r w:rsidRPr="00FF3746">
              <w:t>after</w:t>
            </w:r>
            <w:r>
              <w:t xml:space="preserve"> </w:t>
            </w:r>
            <w:r w:rsidR="004734CD" w:rsidRPr="00FF3746">
              <w:t>1/01/2021</w:t>
            </w:r>
          </w:p>
        </w:tc>
        <w:tc>
          <w:tcPr>
            <w:tcW w:w="1207" w:type="pct"/>
            <w:tcBorders>
              <w:top w:val="nil"/>
              <w:left w:val="single" w:sz="4" w:space="0" w:color="auto"/>
              <w:bottom w:val="single" w:sz="4" w:space="0" w:color="auto"/>
              <w:right w:val="single" w:sz="4" w:space="0" w:color="auto"/>
            </w:tcBorders>
            <w:shd w:val="clear" w:color="auto" w:fill="auto"/>
          </w:tcPr>
          <w:p w14:paraId="73BADE37" w14:textId="7E18B355" w:rsidR="004734CD" w:rsidRPr="00FF3746" w:rsidRDefault="00CE1E7D" w:rsidP="004A4847">
            <w:pPr>
              <w:ind w:left="-57" w:right="-57"/>
              <w:jc w:val="center"/>
            </w:pPr>
            <w:r w:rsidRPr="00FF3746">
              <w:t>after</w:t>
            </w:r>
            <w:r>
              <w:t xml:space="preserve"> </w:t>
            </w:r>
            <w:r w:rsidR="004734CD" w:rsidRPr="00FF3746">
              <w:t>1/01/2022</w:t>
            </w:r>
          </w:p>
        </w:tc>
      </w:tr>
      <w:tr w:rsidR="004A4847" w:rsidRPr="00FF3746" w14:paraId="6975C5A3"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0D2241E5" w14:textId="77777777" w:rsidR="004734CD" w:rsidRPr="00FF3746" w:rsidRDefault="004734CD" w:rsidP="00791B00"/>
        </w:tc>
        <w:tc>
          <w:tcPr>
            <w:tcW w:w="1207" w:type="pct"/>
            <w:tcBorders>
              <w:top w:val="single" w:sz="4" w:space="0" w:color="auto"/>
              <w:left w:val="single" w:sz="4" w:space="0" w:color="auto"/>
              <w:bottom w:val="single" w:sz="4" w:space="0" w:color="auto"/>
              <w:right w:val="single" w:sz="4" w:space="0" w:color="auto"/>
            </w:tcBorders>
            <w:shd w:val="clear" w:color="auto" w:fill="auto"/>
          </w:tcPr>
          <w:p w14:paraId="7646AF14" w14:textId="77777777" w:rsidR="004734CD" w:rsidRPr="00FF3746" w:rsidRDefault="004734CD" w:rsidP="004A4847">
            <w:pPr>
              <w:ind w:left="-57" w:right="-57"/>
              <w:jc w:val="center"/>
            </w:pPr>
            <w:r w:rsidRPr="00FF3746">
              <w:t>0.3% increase</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10B777A6" w14:textId="77777777" w:rsidR="004734CD" w:rsidRPr="00FF3746" w:rsidRDefault="004734CD" w:rsidP="004A4847">
            <w:pPr>
              <w:ind w:left="-57" w:right="-57"/>
              <w:jc w:val="center"/>
            </w:pPr>
            <w:r w:rsidRPr="00FF3746">
              <w:t>2.04% increase</w:t>
            </w:r>
          </w:p>
        </w:tc>
      </w:tr>
      <w:tr w:rsidR="004A4847" w:rsidRPr="00FF3746" w14:paraId="740DF4F5"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662BF01B" w14:textId="77777777" w:rsidR="004734CD" w:rsidRPr="00FF3746" w:rsidRDefault="004734CD" w:rsidP="00791B00">
            <w:r w:rsidRPr="00FF3746">
              <w:t>Entry Level</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3EA7193F" w14:textId="77777777" w:rsidR="004734CD" w:rsidRPr="00FF3746" w:rsidRDefault="004734CD" w:rsidP="004A4847">
            <w:pPr>
              <w:ind w:left="-57" w:right="-57"/>
              <w:jc w:val="center"/>
            </w:pPr>
            <w:r w:rsidRPr="00FF3746">
              <w:t>32.081</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B804CC5" w14:textId="77777777" w:rsidR="004734CD" w:rsidRPr="00FF3746" w:rsidRDefault="004734CD" w:rsidP="004A4847">
            <w:pPr>
              <w:ind w:left="-57" w:right="-57"/>
              <w:jc w:val="center"/>
            </w:pPr>
            <w:r w:rsidRPr="00FF3746">
              <w:t>32.735</w:t>
            </w:r>
          </w:p>
        </w:tc>
      </w:tr>
      <w:tr w:rsidR="004A4847" w:rsidRPr="00FF3746" w14:paraId="26DD0CDF"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567B6193" w14:textId="0E14C1A0" w:rsidR="004734CD" w:rsidRPr="00FF3746" w:rsidRDefault="004734CD" w:rsidP="00791B00">
            <w:r w:rsidRPr="00FF3746">
              <w:t xml:space="preserve">Bus Operator level </w:t>
            </w:r>
            <w:r w:rsidR="00CE1E7D">
              <w:t>1</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65B26EF" w14:textId="77777777" w:rsidR="004734CD" w:rsidRPr="00FF3746" w:rsidRDefault="004734CD" w:rsidP="004A4847">
            <w:pPr>
              <w:ind w:left="-57" w:right="-57"/>
              <w:jc w:val="center"/>
            </w:pPr>
            <w:r w:rsidRPr="00FF3746">
              <w:t>33.297</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01F17333" w14:textId="77777777" w:rsidR="004734CD" w:rsidRPr="00FF3746" w:rsidRDefault="004734CD" w:rsidP="004A4847">
            <w:pPr>
              <w:ind w:left="-57" w:right="-57"/>
              <w:jc w:val="center"/>
            </w:pPr>
            <w:r w:rsidRPr="00FF3746">
              <w:t>33.976</w:t>
            </w:r>
          </w:p>
        </w:tc>
      </w:tr>
      <w:tr w:rsidR="004A4847" w:rsidRPr="00FF3746" w14:paraId="45596AA7"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09439A57" w14:textId="77777777" w:rsidR="004734CD" w:rsidRPr="00FF3746" w:rsidRDefault="004734CD" w:rsidP="00791B00">
            <w:r w:rsidRPr="00FF3746">
              <w:t>Bus Operator level 2</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01849F20" w14:textId="77777777" w:rsidR="004734CD" w:rsidRPr="00FF3746" w:rsidRDefault="004734CD" w:rsidP="004A4847">
            <w:pPr>
              <w:ind w:left="-57" w:right="-57"/>
              <w:jc w:val="center"/>
            </w:pPr>
            <w:r w:rsidRPr="00FF3746">
              <w:t>34.633</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7D945D9" w14:textId="77777777" w:rsidR="004734CD" w:rsidRPr="00FF3746" w:rsidRDefault="004734CD" w:rsidP="004A4847">
            <w:pPr>
              <w:ind w:left="-57" w:right="-57"/>
              <w:jc w:val="center"/>
            </w:pPr>
            <w:r w:rsidRPr="00FF3746">
              <w:t>35.340</w:t>
            </w:r>
          </w:p>
        </w:tc>
      </w:tr>
      <w:tr w:rsidR="004A4847" w:rsidRPr="00FF3746" w14:paraId="624A3F6B"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125D5F4A" w14:textId="77777777" w:rsidR="004734CD" w:rsidRPr="00FF3746" w:rsidRDefault="004734CD" w:rsidP="00791B00">
            <w:r w:rsidRPr="00FF3746">
              <w:t>Senior Bus Operator</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31D4C76" w14:textId="77777777" w:rsidR="004734CD" w:rsidRPr="00FF3746" w:rsidRDefault="004734CD" w:rsidP="004A4847">
            <w:pPr>
              <w:ind w:left="-57" w:right="-57"/>
              <w:jc w:val="center"/>
            </w:pPr>
            <w:r w:rsidRPr="00FF3746">
              <w:t>35.293</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360B15A6" w14:textId="77777777" w:rsidR="004734CD" w:rsidRPr="00FF3746" w:rsidRDefault="004734CD" w:rsidP="004A4847">
            <w:pPr>
              <w:ind w:left="-57" w:right="-57"/>
              <w:jc w:val="center"/>
            </w:pPr>
            <w:r w:rsidRPr="00FF3746">
              <w:t>36.013</w:t>
            </w:r>
          </w:p>
        </w:tc>
      </w:tr>
      <w:tr w:rsidR="004A4847" w:rsidRPr="00FF3746" w14:paraId="245D5461"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556FDBF6" w14:textId="46E4FF06" w:rsidR="004734CD" w:rsidRPr="00FF3746" w:rsidRDefault="004734CD" w:rsidP="00791B00">
            <w:r w:rsidRPr="00FF3746">
              <w:t xml:space="preserve">Bus Operator Trainer </w:t>
            </w:r>
            <w:r w:rsidR="00CE1E7D">
              <w:t>1</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3F566261" w14:textId="409966A3" w:rsidR="004734CD" w:rsidRPr="00FF3746" w:rsidRDefault="004734CD" w:rsidP="004A4847">
            <w:pPr>
              <w:ind w:left="-57" w:right="-57"/>
              <w:jc w:val="center"/>
            </w:pPr>
            <w:r w:rsidRPr="00FF3746">
              <w:t>38.20</w:t>
            </w:r>
            <w:r w:rsidR="00CE1E7D">
              <w:t>1</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7009004C" w14:textId="77777777" w:rsidR="004734CD" w:rsidRPr="00FF3746" w:rsidRDefault="004734CD" w:rsidP="004A4847">
            <w:pPr>
              <w:ind w:left="-57" w:right="-57"/>
              <w:jc w:val="center"/>
            </w:pPr>
            <w:r w:rsidRPr="00FF3746">
              <w:t>38.981</w:t>
            </w:r>
          </w:p>
        </w:tc>
      </w:tr>
      <w:tr w:rsidR="004A4847" w:rsidRPr="00FF3746" w14:paraId="739A7DB2"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2B7ACEF4" w14:textId="77777777" w:rsidR="004734CD" w:rsidRPr="00FF3746" w:rsidRDefault="004734CD" w:rsidP="00791B00">
            <w:r w:rsidRPr="00FF3746">
              <w:t>Bus Operator Trainer 2</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1622595" w14:textId="77777777" w:rsidR="004734CD" w:rsidRPr="00FF3746" w:rsidRDefault="004734CD" w:rsidP="004A4847">
            <w:pPr>
              <w:ind w:left="-57" w:right="-57"/>
              <w:jc w:val="center"/>
            </w:pPr>
            <w:r w:rsidRPr="00FF3746">
              <w:t>41.125</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4D488EC8" w14:textId="77777777" w:rsidR="004734CD" w:rsidRPr="00FF3746" w:rsidRDefault="004734CD" w:rsidP="004A4847">
            <w:pPr>
              <w:ind w:left="-57" w:right="-57"/>
              <w:jc w:val="center"/>
            </w:pPr>
            <w:r w:rsidRPr="00FF3746">
              <w:t>41.965</w:t>
            </w:r>
          </w:p>
        </w:tc>
      </w:tr>
      <w:tr w:rsidR="004A4847" w:rsidRPr="00FF3746" w14:paraId="1AE336B3" w14:textId="77777777" w:rsidTr="004A4847">
        <w:trPr>
          <w:cantSplit/>
        </w:trPr>
        <w:tc>
          <w:tcPr>
            <w:tcW w:w="2586" w:type="pct"/>
            <w:tcBorders>
              <w:top w:val="single" w:sz="4" w:space="0" w:color="auto"/>
              <w:left w:val="single" w:sz="4" w:space="0" w:color="auto"/>
              <w:bottom w:val="single" w:sz="4" w:space="0" w:color="auto"/>
              <w:right w:val="single" w:sz="4" w:space="0" w:color="auto"/>
            </w:tcBorders>
            <w:shd w:val="clear" w:color="auto" w:fill="auto"/>
          </w:tcPr>
          <w:p w14:paraId="08D51D37" w14:textId="77777777" w:rsidR="004734CD" w:rsidRPr="00FF3746" w:rsidRDefault="004734CD" w:rsidP="00791B00">
            <w:r w:rsidRPr="00FF3746">
              <w:t>Bus Operator Trainer 3</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72CE6AB8" w14:textId="77777777" w:rsidR="004734CD" w:rsidRPr="00FF3746" w:rsidRDefault="004734CD" w:rsidP="004A4847">
            <w:pPr>
              <w:ind w:left="-57" w:right="-57"/>
              <w:jc w:val="center"/>
            </w:pPr>
            <w:r w:rsidRPr="00FF3746">
              <w:t>45.032</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73E10755" w14:textId="77777777" w:rsidR="004734CD" w:rsidRPr="00FF3746" w:rsidRDefault="004734CD" w:rsidP="004A4847">
            <w:pPr>
              <w:ind w:left="-57" w:right="-57"/>
              <w:jc w:val="center"/>
            </w:pPr>
            <w:r w:rsidRPr="00FF3746">
              <w:t>45.951</w:t>
            </w:r>
          </w:p>
        </w:tc>
      </w:tr>
    </w:tbl>
    <w:p w14:paraId="19B63D62" w14:textId="77777777" w:rsidR="004734CD" w:rsidRDefault="004734CD" w:rsidP="004734CD"/>
    <w:p w14:paraId="01D44042" w14:textId="77777777" w:rsidR="004734CD" w:rsidRPr="004734CD" w:rsidRDefault="004734CD" w:rsidP="00CE1E7D">
      <w:pPr>
        <w:pStyle w:val="BlockIndent1cm"/>
      </w:pPr>
      <w:r w:rsidRPr="004734CD">
        <w:t>The above rates include the Casual Loading contained in Clause 13</w:t>
      </w:r>
    </w:p>
    <w:p w14:paraId="755F20E2" w14:textId="749CAEC6" w:rsidR="004734CD" w:rsidRDefault="004734CD" w:rsidP="004734CD"/>
    <w:p w14:paraId="39E9DA1E" w14:textId="5B6171DC" w:rsidR="00CE1E7D" w:rsidRDefault="00CE1E7D" w:rsidP="004734CD"/>
    <w:p w14:paraId="4459F145" w14:textId="4989B091" w:rsidR="00CE1E7D" w:rsidRDefault="00CE1E7D" w:rsidP="004734CD"/>
    <w:p w14:paraId="424795F9" w14:textId="4F514F7E" w:rsidR="00CE1E7D" w:rsidRDefault="00CE1E7D" w:rsidP="004734CD"/>
    <w:p w14:paraId="7D636D09" w14:textId="77777777" w:rsidR="00CE1E7D" w:rsidRDefault="00CE1E7D" w:rsidP="004734CD"/>
    <w:p w14:paraId="5835C45F" w14:textId="16437B86" w:rsidR="00CE1E7D" w:rsidRDefault="00CE1E7D" w:rsidP="00BB5A14">
      <w:pPr>
        <w:pStyle w:val="Level2A"/>
      </w:pPr>
      <w:r>
        <w:t>4.</w:t>
      </w:r>
      <w:r>
        <w:tab/>
        <w:t>This variation will take effect on and from 30 September 2021.</w:t>
      </w:r>
    </w:p>
    <w:p w14:paraId="5D7D7948" w14:textId="35E679B4" w:rsidR="004734CD" w:rsidRDefault="004734CD" w:rsidP="004734CD"/>
    <w:p w14:paraId="65D7C6CE" w14:textId="21F2B391" w:rsidR="00CE1E7D" w:rsidRDefault="00CE1E7D" w:rsidP="004734CD"/>
    <w:p w14:paraId="76DF7646" w14:textId="77777777" w:rsidR="00CE1E7D" w:rsidRDefault="00CE1E7D" w:rsidP="004734CD"/>
    <w:p w14:paraId="31A2B0AC" w14:textId="77777777" w:rsidR="004734CD" w:rsidRDefault="004734CD" w:rsidP="004734CD">
      <w:pPr>
        <w:ind w:right="567"/>
        <w:jc w:val="right"/>
      </w:pPr>
      <w:r>
        <w:rPr>
          <w:noProof/>
        </w:rPr>
        <w:t>N. CONSTANT,</w:t>
      </w:r>
      <w:r>
        <w:rPr>
          <w:rFonts w:ascii="Times New (W1)" w:hAnsi="Times New (W1)"/>
          <w:i/>
          <w:noProof/>
        </w:rPr>
        <w:t xml:space="preserve"> Chief Commissioner</w:t>
      </w:r>
    </w:p>
    <w:p w14:paraId="49609771" w14:textId="77777777" w:rsidR="004734CD" w:rsidRDefault="004734CD" w:rsidP="004734CD"/>
    <w:p w14:paraId="199EA58A" w14:textId="77777777" w:rsidR="004734CD" w:rsidRDefault="004734CD" w:rsidP="004734CD"/>
    <w:p w14:paraId="764170A7" w14:textId="77777777" w:rsidR="004734CD" w:rsidRDefault="004734CD" w:rsidP="004734CD">
      <w:pPr>
        <w:jc w:val="center"/>
      </w:pPr>
      <w:r>
        <w:t>____________________</w:t>
      </w:r>
    </w:p>
    <w:p w14:paraId="478BA87C" w14:textId="77777777" w:rsidR="004734CD" w:rsidRDefault="004734CD" w:rsidP="004734CD">
      <w:pPr>
        <w:rPr>
          <w:spacing w:val="-2"/>
        </w:rPr>
      </w:pPr>
    </w:p>
    <w:p w14:paraId="53CB7397" w14:textId="77777777" w:rsidR="004734CD" w:rsidRDefault="004734CD" w:rsidP="004734CD">
      <w:pPr>
        <w:rPr>
          <w:color w:val="000000"/>
          <w:spacing w:val="-2"/>
        </w:rPr>
      </w:pPr>
    </w:p>
    <w:p w14:paraId="3F1E39D4" w14:textId="77777777" w:rsidR="004734CD" w:rsidRDefault="004734CD" w:rsidP="004734CD">
      <w:r>
        <w:rPr>
          <w:color w:val="000000"/>
          <w:spacing w:val="-2"/>
        </w:rPr>
        <w:t>Printed by the authority of the Industrial Registrar.</w:t>
      </w:r>
    </w:p>
    <w:p w14:paraId="2D55B302" w14:textId="77777777" w:rsidR="0008166C" w:rsidRPr="004734CD" w:rsidRDefault="0008166C" w:rsidP="004734CD"/>
    <w:sectPr w:rsidR="0008166C" w:rsidRPr="004734CD" w:rsidSect="004734CD">
      <w:footerReference w:type="even" r:id="rId7"/>
      <w:footerReference w:type="default" r:id="rId8"/>
      <w:pgSz w:w="11907" w:h="16840" w:code="9"/>
      <w:pgMar w:top="1587" w:right="1474" w:bottom="1587" w:left="1474" w:header="1134" w:footer="1134" w:gutter="0"/>
      <w:paperSrc w:first="7" w:other="7"/>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43B4" w14:textId="77777777" w:rsidR="0008166C" w:rsidRDefault="0008166C">
      <w:r>
        <w:separator/>
      </w:r>
    </w:p>
  </w:endnote>
  <w:endnote w:type="continuationSeparator" w:id="0">
    <w:p w14:paraId="329C294C" w14:textId="77777777" w:rsidR="0008166C" w:rsidRDefault="000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8998" w14:textId="77777777" w:rsidR="00F375D7" w:rsidRDefault="003B659C">
    <w:pPr>
      <w:framePr w:wrap="around" w:vAnchor="text" w:hAnchor="margin" w:xAlign="center" w:y="1"/>
    </w:pPr>
    <w:r>
      <w:fldChar w:fldCharType="begin"/>
    </w:r>
    <w:r>
      <w:instrText xml:space="preserve">PAGE  </w:instrText>
    </w:r>
    <w:r>
      <w:fldChar w:fldCharType="end"/>
    </w:r>
  </w:p>
  <w:p w14:paraId="287F4D09" w14:textId="77777777" w:rsidR="00F375D7" w:rsidRDefault="00F375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9A2C" w14:textId="77777777" w:rsidR="00F375D7" w:rsidRDefault="003B659C">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D324E2C" w14:textId="77777777" w:rsidR="00F375D7" w:rsidRDefault="00F37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003F" w14:textId="77777777" w:rsidR="0008166C" w:rsidRDefault="0008166C">
      <w:r>
        <w:separator/>
      </w:r>
    </w:p>
  </w:footnote>
  <w:footnote w:type="continuationSeparator" w:id="0">
    <w:p w14:paraId="690E3D41" w14:textId="77777777" w:rsidR="0008166C" w:rsidRDefault="0008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A40A1EE"/>
    <w:lvl w:ilvl="0">
      <w:start w:val="5"/>
      <w:numFmt w:val="decimal"/>
      <w:lvlText w:val="%1"/>
      <w:legacy w:legacy="1" w:legacySpace="120" w:legacyIndent="360"/>
      <w:lvlJc w:val="left"/>
      <w:pPr>
        <w:ind w:left="357" w:hanging="36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000405"/>
    <w:multiLevelType w:val="multilevel"/>
    <w:tmpl w:val="00000888"/>
    <w:lvl w:ilvl="0">
      <w:start w:val="1"/>
      <w:numFmt w:val="lowerLetter"/>
      <w:lvlText w:val="(%1)"/>
      <w:lvlJc w:val="left"/>
      <w:pPr>
        <w:ind w:left="1229" w:hanging="372"/>
      </w:pPr>
      <w:rPr>
        <w:rFonts w:ascii="Arial" w:hAnsi="Arial" w:cs="Arial"/>
        <w:b w:val="0"/>
        <w:bCs w:val="0"/>
        <w:i w:val="0"/>
        <w:iCs w:val="0"/>
        <w:spacing w:val="-1"/>
        <w:w w:val="89"/>
        <w:sz w:val="19"/>
        <w:szCs w:val="19"/>
      </w:rPr>
    </w:lvl>
    <w:lvl w:ilvl="1">
      <w:start w:val="2"/>
      <w:numFmt w:val="lowerLetter"/>
      <w:lvlText w:val="(%2)"/>
      <w:lvlJc w:val="left"/>
      <w:pPr>
        <w:ind w:left="1821" w:hanging="302"/>
      </w:pPr>
      <w:rPr>
        <w:rFonts w:ascii="Times New Roman" w:hAnsi="Times New Roman" w:cs="Times New Roman"/>
        <w:b w:val="0"/>
        <w:bCs w:val="0"/>
        <w:i w:val="0"/>
        <w:iCs w:val="0"/>
        <w:w w:val="110"/>
        <w:sz w:val="19"/>
        <w:szCs w:val="19"/>
      </w:rPr>
    </w:lvl>
    <w:lvl w:ilvl="2">
      <w:numFmt w:val="bullet"/>
      <w:lvlText w:val="•"/>
      <w:lvlJc w:val="left"/>
      <w:pPr>
        <w:ind w:left="2637" w:hanging="302"/>
      </w:pPr>
    </w:lvl>
    <w:lvl w:ilvl="3">
      <w:numFmt w:val="bullet"/>
      <w:lvlText w:val="•"/>
      <w:lvlJc w:val="left"/>
      <w:pPr>
        <w:ind w:left="3455" w:hanging="302"/>
      </w:pPr>
    </w:lvl>
    <w:lvl w:ilvl="4">
      <w:numFmt w:val="bullet"/>
      <w:lvlText w:val="•"/>
      <w:lvlJc w:val="left"/>
      <w:pPr>
        <w:ind w:left="4273" w:hanging="302"/>
      </w:pPr>
    </w:lvl>
    <w:lvl w:ilvl="5">
      <w:numFmt w:val="bullet"/>
      <w:lvlText w:val="•"/>
      <w:lvlJc w:val="left"/>
      <w:pPr>
        <w:ind w:left="5091" w:hanging="302"/>
      </w:pPr>
    </w:lvl>
    <w:lvl w:ilvl="6">
      <w:numFmt w:val="bullet"/>
      <w:lvlText w:val="•"/>
      <w:lvlJc w:val="left"/>
      <w:pPr>
        <w:ind w:left="5909" w:hanging="302"/>
      </w:pPr>
    </w:lvl>
    <w:lvl w:ilvl="7">
      <w:numFmt w:val="bullet"/>
      <w:lvlText w:val="•"/>
      <w:lvlJc w:val="left"/>
      <w:pPr>
        <w:ind w:left="6727" w:hanging="302"/>
      </w:pPr>
    </w:lvl>
    <w:lvl w:ilvl="8">
      <w:numFmt w:val="bullet"/>
      <w:lvlText w:val="•"/>
      <w:lvlJc w:val="left"/>
      <w:pPr>
        <w:ind w:left="7545" w:hanging="302"/>
      </w:pPr>
    </w:lvl>
  </w:abstractNum>
  <w:abstractNum w:abstractNumId="2" w15:restartNumberingAfterBreak="0">
    <w:nsid w:val="00000406"/>
    <w:multiLevelType w:val="multilevel"/>
    <w:tmpl w:val="00000889"/>
    <w:lvl w:ilvl="0">
      <w:start w:val="1"/>
      <w:numFmt w:val="decimal"/>
      <w:lvlText w:val="%1."/>
      <w:lvlJc w:val="left"/>
      <w:pPr>
        <w:ind w:left="833" w:hanging="360"/>
      </w:pPr>
      <w:rPr>
        <w:spacing w:val="-1"/>
        <w:w w:val="105"/>
      </w:rPr>
    </w:lvl>
    <w:lvl w:ilvl="1">
      <w:numFmt w:val="bullet"/>
      <w:lvlText w:val="•"/>
      <w:lvlJc w:val="left"/>
      <w:pPr>
        <w:ind w:left="2580" w:hanging="360"/>
      </w:pPr>
    </w:lvl>
    <w:lvl w:ilvl="2">
      <w:numFmt w:val="bullet"/>
      <w:lvlText w:val="•"/>
      <w:lvlJc w:val="left"/>
      <w:pPr>
        <w:ind w:left="3313" w:hanging="360"/>
      </w:pPr>
    </w:lvl>
    <w:lvl w:ilvl="3">
      <w:numFmt w:val="bullet"/>
      <w:lvlText w:val="•"/>
      <w:lvlJc w:val="left"/>
      <w:pPr>
        <w:ind w:left="4046" w:hanging="360"/>
      </w:pPr>
    </w:lvl>
    <w:lvl w:ilvl="4">
      <w:numFmt w:val="bullet"/>
      <w:lvlText w:val="•"/>
      <w:lvlJc w:val="left"/>
      <w:pPr>
        <w:ind w:left="4780" w:hanging="360"/>
      </w:pPr>
    </w:lvl>
    <w:lvl w:ilvl="5">
      <w:numFmt w:val="bullet"/>
      <w:lvlText w:val="•"/>
      <w:lvlJc w:val="left"/>
      <w:pPr>
        <w:ind w:left="5513" w:hanging="360"/>
      </w:pPr>
    </w:lvl>
    <w:lvl w:ilvl="6">
      <w:numFmt w:val="bullet"/>
      <w:lvlText w:val="•"/>
      <w:lvlJc w:val="left"/>
      <w:pPr>
        <w:ind w:left="6247" w:hanging="360"/>
      </w:pPr>
    </w:lvl>
    <w:lvl w:ilvl="7">
      <w:numFmt w:val="bullet"/>
      <w:lvlText w:val="•"/>
      <w:lvlJc w:val="left"/>
      <w:pPr>
        <w:ind w:left="6980" w:hanging="360"/>
      </w:pPr>
    </w:lvl>
    <w:lvl w:ilvl="8">
      <w:numFmt w:val="bullet"/>
      <w:lvlText w:val="•"/>
      <w:lvlJc w:val="left"/>
      <w:pPr>
        <w:ind w:left="7714" w:hanging="360"/>
      </w:pPr>
    </w:lvl>
  </w:abstractNum>
  <w:abstractNum w:abstractNumId="3" w15:restartNumberingAfterBreak="0">
    <w:nsid w:val="00000407"/>
    <w:multiLevelType w:val="multilevel"/>
    <w:tmpl w:val="0000088A"/>
    <w:lvl w:ilvl="0">
      <w:start w:val="15"/>
      <w:numFmt w:val="decimal"/>
      <w:lvlText w:val="%1"/>
      <w:lvlJc w:val="left"/>
      <w:pPr>
        <w:ind w:left="690" w:hanging="552"/>
      </w:pPr>
    </w:lvl>
    <w:lvl w:ilvl="1">
      <w:start w:val="1"/>
      <w:numFmt w:val="decimal"/>
      <w:lvlText w:val="%1.%2"/>
      <w:lvlJc w:val="left"/>
      <w:pPr>
        <w:ind w:left="690" w:hanging="552"/>
      </w:pPr>
      <w:rPr>
        <w:rFonts w:ascii="Times New Roman" w:hAnsi="Times New Roman" w:cs="Times New Roman"/>
        <w:b w:val="0"/>
        <w:bCs w:val="0"/>
        <w:i w:val="0"/>
        <w:iCs w:val="0"/>
        <w:w w:val="101"/>
        <w:sz w:val="19"/>
        <w:szCs w:val="19"/>
      </w:rPr>
    </w:lvl>
    <w:lvl w:ilvl="2">
      <w:start w:val="1"/>
      <w:numFmt w:val="lowerRoman"/>
      <w:lvlText w:val="%3)"/>
      <w:lvlJc w:val="left"/>
      <w:pPr>
        <w:ind w:left="1250" w:hanging="155"/>
      </w:pPr>
      <w:rPr>
        <w:rFonts w:ascii="Times New Roman" w:hAnsi="Times New Roman" w:cs="Times New Roman"/>
        <w:b w:val="0"/>
        <w:bCs w:val="0"/>
        <w:i w:val="0"/>
        <w:iCs w:val="0"/>
        <w:spacing w:val="-1"/>
        <w:w w:val="103"/>
        <w:sz w:val="19"/>
        <w:szCs w:val="19"/>
      </w:rPr>
    </w:lvl>
    <w:lvl w:ilvl="3">
      <w:numFmt w:val="bullet"/>
      <w:lvlText w:val="•"/>
      <w:lvlJc w:val="left"/>
      <w:pPr>
        <w:ind w:left="3020" w:hanging="155"/>
      </w:pPr>
    </w:lvl>
    <w:lvl w:ilvl="4">
      <w:numFmt w:val="bullet"/>
      <w:lvlText w:val="•"/>
      <w:lvlJc w:val="left"/>
      <w:pPr>
        <w:ind w:left="3900" w:hanging="155"/>
      </w:pPr>
    </w:lvl>
    <w:lvl w:ilvl="5">
      <w:numFmt w:val="bullet"/>
      <w:lvlText w:val="•"/>
      <w:lvlJc w:val="left"/>
      <w:pPr>
        <w:ind w:left="4780" w:hanging="155"/>
      </w:pPr>
    </w:lvl>
    <w:lvl w:ilvl="6">
      <w:numFmt w:val="bullet"/>
      <w:lvlText w:val="•"/>
      <w:lvlJc w:val="left"/>
      <w:pPr>
        <w:ind w:left="5660" w:hanging="155"/>
      </w:pPr>
    </w:lvl>
    <w:lvl w:ilvl="7">
      <w:numFmt w:val="bullet"/>
      <w:lvlText w:val="•"/>
      <w:lvlJc w:val="left"/>
      <w:pPr>
        <w:ind w:left="6540" w:hanging="155"/>
      </w:pPr>
    </w:lvl>
    <w:lvl w:ilvl="8">
      <w:numFmt w:val="bullet"/>
      <w:lvlText w:val="•"/>
      <w:lvlJc w:val="left"/>
      <w:pPr>
        <w:ind w:left="7420" w:hanging="155"/>
      </w:pPr>
    </w:lvl>
  </w:abstractNum>
  <w:abstractNum w:abstractNumId="4" w15:restartNumberingAfterBreak="0">
    <w:nsid w:val="3FF26EA6"/>
    <w:multiLevelType w:val="multilevel"/>
    <w:tmpl w:val="A53A3E76"/>
    <w:lvl w:ilvl="0">
      <w:start w:val="1"/>
      <w:numFmt w:val="decimal"/>
      <w:lvlText w:val="%1"/>
      <w:lvlJc w:val="left"/>
      <w:pPr>
        <w:tabs>
          <w:tab w:val="num" w:pos="720"/>
        </w:tabs>
        <w:ind w:left="720" w:hanging="720"/>
      </w:pPr>
      <w:rPr>
        <w:rFonts w:ascii="Century Schoolbook" w:hAnsi="Century Schoolbook"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0"/>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5"/>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oNotTrackMoves/>
  <w:defaultTabStop w:val="567"/>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66C"/>
    <w:rsid w:val="0008166C"/>
    <w:rsid w:val="003B659C"/>
    <w:rsid w:val="004734CD"/>
    <w:rsid w:val="004A4847"/>
    <w:rsid w:val="006F1A8B"/>
    <w:rsid w:val="00BB5A14"/>
    <w:rsid w:val="00CE1E7D"/>
    <w:rsid w:val="00DE52A7"/>
    <w:rsid w:val="00F0360C"/>
    <w:rsid w:val="00F37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E9151"/>
  <w15:chartTrackingRefBased/>
  <w15:docId w15:val="{FC3202F5-9B44-427F-AC6D-F1584938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CD"/>
    <w:pPr>
      <w:jc w:val="both"/>
    </w:pPr>
    <w:rPr>
      <w:szCs w:val="24"/>
      <w:lang w:eastAsia="en-US"/>
    </w:rPr>
  </w:style>
  <w:style w:type="paragraph" w:styleId="Heading1">
    <w:name w:val="heading 1"/>
    <w:basedOn w:val="Normal"/>
    <w:next w:val="Normal"/>
    <w:qFormat/>
    <w:rsid w:val="004734CD"/>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uiPriority w:val="1"/>
    <w:semiHidden/>
    <w:unhideWhenUsed/>
    <w:qFormat/>
    <w:rsid w:val="004734CD"/>
    <w:pPr>
      <w:widowControl w:val="0"/>
      <w:autoSpaceDE w:val="0"/>
      <w:autoSpaceDN w:val="0"/>
      <w:adjustRightInd w:val="0"/>
      <w:ind w:left="1302"/>
      <w:jc w:val="center"/>
      <w:outlineLvl w:val="1"/>
    </w:pPr>
    <w:rPr>
      <w:rFonts w:ascii="Arial" w:hAnsi="Arial" w:cs="Arial"/>
      <w:b/>
      <w:bCs/>
      <w:sz w:val="19"/>
      <w:szCs w:val="19"/>
      <w:lang w:eastAsia="en-AU"/>
    </w:rPr>
  </w:style>
  <w:style w:type="paragraph" w:styleId="Heading3">
    <w:name w:val="heading 3"/>
    <w:basedOn w:val="Normal"/>
    <w:next w:val="Normal"/>
    <w:link w:val="Heading3Char"/>
    <w:uiPriority w:val="1"/>
    <w:semiHidden/>
    <w:unhideWhenUsed/>
    <w:qFormat/>
    <w:rsid w:val="004734CD"/>
    <w:pPr>
      <w:widowControl w:val="0"/>
      <w:autoSpaceDE w:val="0"/>
      <w:autoSpaceDN w:val="0"/>
      <w:adjustRightInd w:val="0"/>
      <w:ind w:left="533" w:right="927"/>
      <w:jc w:val="center"/>
      <w:outlineLvl w:val="2"/>
    </w:pPr>
    <w:rPr>
      <w:rFonts w:ascii="Arial" w:hAnsi="Arial" w:cs="Arial"/>
      <w:b/>
      <w:bCs/>
      <w:sz w:val="19"/>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1">
    <w:name w:val="Arrangement 1"/>
    <w:basedOn w:val="Normal"/>
    <w:next w:val="Normal"/>
    <w:rsid w:val="004734CD"/>
    <w:pPr>
      <w:ind w:left="4536" w:hanging="567"/>
      <w:jc w:val="left"/>
    </w:pPr>
    <w:rPr>
      <w:bCs/>
    </w:rPr>
  </w:style>
  <w:style w:type="paragraph" w:customStyle="1" w:styleId="Arrangement2">
    <w:name w:val="Arrangement 2"/>
    <w:basedOn w:val="Normal"/>
    <w:next w:val="Normal"/>
    <w:rsid w:val="004734CD"/>
    <w:pPr>
      <w:ind w:left="567" w:hanging="567"/>
    </w:pPr>
  </w:style>
  <w:style w:type="paragraph" w:customStyle="1" w:styleId="Arrangement3">
    <w:name w:val="Arrangement 3"/>
    <w:basedOn w:val="Normal"/>
    <w:next w:val="Normal"/>
    <w:rsid w:val="004734CD"/>
    <w:pPr>
      <w:ind w:left="1701" w:hanging="1134"/>
    </w:pPr>
  </w:style>
  <w:style w:type="paragraph" w:customStyle="1" w:styleId="BlockIndent1cm">
    <w:name w:val="Block Indent 1cm"/>
    <w:basedOn w:val="Normal"/>
    <w:next w:val="Normal"/>
    <w:rsid w:val="004734CD"/>
    <w:pPr>
      <w:ind w:left="567"/>
    </w:pPr>
  </w:style>
  <w:style w:type="paragraph" w:customStyle="1" w:styleId="BlockIndent2cm">
    <w:name w:val="Block Indent 2cm"/>
    <w:basedOn w:val="Normal"/>
    <w:next w:val="Normal"/>
    <w:rsid w:val="004734CD"/>
    <w:pPr>
      <w:ind w:left="1134"/>
    </w:pPr>
  </w:style>
  <w:style w:type="paragraph" w:customStyle="1" w:styleId="BlockIndent3cm">
    <w:name w:val="Block Indent 3cm"/>
    <w:basedOn w:val="Normal"/>
    <w:next w:val="Normal"/>
    <w:rsid w:val="004734CD"/>
    <w:pPr>
      <w:ind w:left="1701"/>
    </w:pPr>
  </w:style>
  <w:style w:type="paragraph" w:customStyle="1" w:styleId="BlockIndent4cm">
    <w:name w:val="Block Indent 4cm"/>
    <w:basedOn w:val="BlockIndent3cm"/>
    <w:rsid w:val="004734CD"/>
    <w:pPr>
      <w:ind w:left="2268"/>
    </w:pPr>
  </w:style>
  <w:style w:type="paragraph" w:customStyle="1" w:styleId="BlockIndent5cm">
    <w:name w:val="Block Indent 5cm"/>
    <w:basedOn w:val="Normal"/>
    <w:next w:val="Normal"/>
    <w:rsid w:val="004734CD"/>
    <w:pPr>
      <w:ind w:left="2835"/>
    </w:pPr>
  </w:style>
  <w:style w:type="paragraph" w:styleId="Footer">
    <w:name w:val="footer"/>
    <w:basedOn w:val="Normal"/>
    <w:link w:val="FooterChar"/>
    <w:semiHidden/>
    <w:rsid w:val="004734CD"/>
  </w:style>
  <w:style w:type="character" w:customStyle="1" w:styleId="FooterChar">
    <w:name w:val="Footer Char"/>
    <w:basedOn w:val="DefaultParagraphFont"/>
    <w:link w:val="Footer"/>
    <w:semiHidden/>
    <w:rsid w:val="004734CD"/>
    <w:rPr>
      <w:szCs w:val="24"/>
      <w:lang w:eastAsia="en-US"/>
    </w:rPr>
  </w:style>
  <w:style w:type="paragraph" w:styleId="Header">
    <w:name w:val="header"/>
    <w:basedOn w:val="Normal"/>
    <w:link w:val="HeaderChar"/>
    <w:semiHidden/>
    <w:rsid w:val="004734CD"/>
  </w:style>
  <w:style w:type="character" w:customStyle="1" w:styleId="HeaderChar">
    <w:name w:val="Header Char"/>
    <w:basedOn w:val="DefaultParagraphFont"/>
    <w:link w:val="Header"/>
    <w:semiHidden/>
    <w:rsid w:val="004734CD"/>
    <w:rPr>
      <w:szCs w:val="24"/>
      <w:lang w:eastAsia="en-US"/>
    </w:rPr>
  </w:style>
  <w:style w:type="paragraph" w:customStyle="1" w:styleId="Level1Ai">
    <w:name w:val="Level 1Ai"/>
    <w:basedOn w:val="Normal"/>
    <w:next w:val="Normal"/>
    <w:rsid w:val="004734CD"/>
    <w:pPr>
      <w:ind w:left="567" w:hanging="567"/>
      <w:jc w:val="center"/>
      <w:outlineLvl w:val="0"/>
    </w:pPr>
    <w:rPr>
      <w:b/>
    </w:rPr>
  </w:style>
  <w:style w:type="paragraph" w:customStyle="1" w:styleId="Level1Aii">
    <w:name w:val="Level 1Aii"/>
    <w:basedOn w:val="Level1Ai"/>
    <w:rsid w:val="004734CD"/>
    <w:pPr>
      <w:jc w:val="both"/>
    </w:pPr>
  </w:style>
  <w:style w:type="paragraph" w:customStyle="1" w:styleId="Level2A">
    <w:name w:val="Level 2A"/>
    <w:basedOn w:val="Normal"/>
    <w:next w:val="Normal"/>
    <w:rsid w:val="004734CD"/>
    <w:pPr>
      <w:ind w:left="567" w:hanging="567"/>
      <w:outlineLvl w:val="1"/>
    </w:pPr>
  </w:style>
  <w:style w:type="paragraph" w:customStyle="1" w:styleId="Level3A">
    <w:name w:val="Level 3A"/>
    <w:basedOn w:val="Normal"/>
    <w:next w:val="Normal"/>
    <w:rsid w:val="004734CD"/>
    <w:pPr>
      <w:ind w:left="1134" w:hanging="567"/>
      <w:outlineLvl w:val="2"/>
    </w:pPr>
  </w:style>
  <w:style w:type="paragraph" w:customStyle="1" w:styleId="Level3B">
    <w:name w:val="Level 3B"/>
    <w:basedOn w:val="Normal"/>
    <w:next w:val="Normal"/>
    <w:rsid w:val="004734CD"/>
    <w:pPr>
      <w:ind w:left="1701" w:hanging="1134"/>
      <w:outlineLvl w:val="2"/>
    </w:pPr>
    <w:rPr>
      <w:bCs/>
    </w:rPr>
  </w:style>
  <w:style w:type="paragraph" w:customStyle="1" w:styleId="Level4A">
    <w:name w:val="Level 4A"/>
    <w:basedOn w:val="Normal"/>
    <w:next w:val="Normal"/>
    <w:rsid w:val="004734CD"/>
    <w:pPr>
      <w:ind w:left="1701" w:hanging="567"/>
      <w:outlineLvl w:val="3"/>
    </w:pPr>
  </w:style>
  <w:style w:type="paragraph" w:customStyle="1" w:styleId="Level4B">
    <w:name w:val="Level 4B"/>
    <w:basedOn w:val="Normal"/>
    <w:next w:val="Normal"/>
    <w:rsid w:val="004734CD"/>
    <w:pPr>
      <w:ind w:left="2268" w:hanging="1134"/>
      <w:outlineLvl w:val="3"/>
    </w:pPr>
    <w:rPr>
      <w:bCs/>
    </w:rPr>
  </w:style>
  <w:style w:type="paragraph" w:customStyle="1" w:styleId="Level5A">
    <w:name w:val="Level 5A"/>
    <w:basedOn w:val="Normal"/>
    <w:next w:val="Normal"/>
    <w:rsid w:val="004734CD"/>
    <w:pPr>
      <w:ind w:left="2268" w:hanging="567"/>
      <w:outlineLvl w:val="4"/>
    </w:pPr>
  </w:style>
  <w:style w:type="paragraph" w:customStyle="1" w:styleId="Level5B">
    <w:name w:val="Level 5B"/>
    <w:basedOn w:val="Normal"/>
    <w:next w:val="Normal"/>
    <w:rsid w:val="004734CD"/>
    <w:pPr>
      <w:ind w:left="2835" w:hanging="1134"/>
      <w:outlineLvl w:val="4"/>
    </w:pPr>
    <w:rPr>
      <w:bCs/>
    </w:rPr>
  </w:style>
  <w:style w:type="paragraph" w:customStyle="1" w:styleId="Level6A">
    <w:name w:val="Level 6A"/>
    <w:basedOn w:val="Normal"/>
    <w:next w:val="Normal"/>
    <w:rsid w:val="004734CD"/>
    <w:pPr>
      <w:ind w:left="2835" w:hanging="567"/>
      <w:outlineLvl w:val="5"/>
    </w:pPr>
  </w:style>
  <w:style w:type="paragraph" w:customStyle="1" w:styleId="Level6B">
    <w:name w:val="Level 6B"/>
    <w:basedOn w:val="Level6A"/>
    <w:rsid w:val="004734CD"/>
    <w:pPr>
      <w:ind w:left="3402" w:hanging="1134"/>
    </w:pPr>
  </w:style>
  <w:style w:type="paragraph" w:customStyle="1" w:styleId="Level7A">
    <w:name w:val="Level 7A"/>
    <w:basedOn w:val="Level6A"/>
    <w:rsid w:val="004734CD"/>
    <w:pPr>
      <w:ind w:left="3402"/>
    </w:pPr>
  </w:style>
  <w:style w:type="paragraph" w:customStyle="1" w:styleId="Level7B">
    <w:name w:val="Level 7B"/>
    <w:basedOn w:val="Level6B"/>
    <w:rsid w:val="004734CD"/>
    <w:pPr>
      <w:ind w:left="3969"/>
    </w:pPr>
  </w:style>
  <w:style w:type="character" w:styleId="PageNumber">
    <w:name w:val="page number"/>
    <w:basedOn w:val="DefaultParagraphFont"/>
    <w:semiHidden/>
    <w:rsid w:val="004734CD"/>
  </w:style>
  <w:style w:type="paragraph" w:customStyle="1" w:styleId="Part">
    <w:name w:val="Part"/>
    <w:basedOn w:val="Normal"/>
    <w:rsid w:val="004734CD"/>
    <w:pPr>
      <w:jc w:val="center"/>
    </w:pPr>
    <w:rPr>
      <w:b/>
      <w:bCs/>
      <w:caps/>
      <w:sz w:val="24"/>
    </w:rPr>
  </w:style>
  <w:style w:type="paragraph" w:customStyle="1" w:styleId="ArrangementHeader">
    <w:name w:val="Arrangement Header"/>
    <w:basedOn w:val="Normal"/>
    <w:rsid w:val="004734CD"/>
    <w:pPr>
      <w:ind w:left="4536" w:hanging="1276"/>
    </w:pPr>
  </w:style>
  <w:style w:type="paragraph" w:customStyle="1" w:styleId="BlockIndent0cm">
    <w:name w:val="Block Indent 0cm"/>
    <w:basedOn w:val="Normal"/>
    <w:rsid w:val="004734CD"/>
  </w:style>
  <w:style w:type="character" w:customStyle="1" w:styleId="Heading2Char">
    <w:name w:val="Heading 2 Char"/>
    <w:basedOn w:val="DefaultParagraphFont"/>
    <w:link w:val="Heading2"/>
    <w:uiPriority w:val="1"/>
    <w:semiHidden/>
    <w:rsid w:val="004734CD"/>
    <w:rPr>
      <w:rFonts w:ascii="Arial" w:hAnsi="Arial" w:cs="Arial"/>
      <w:b/>
      <w:bCs/>
      <w:sz w:val="19"/>
      <w:szCs w:val="19"/>
    </w:rPr>
  </w:style>
  <w:style w:type="character" w:customStyle="1" w:styleId="Heading3Char">
    <w:name w:val="Heading 3 Char"/>
    <w:basedOn w:val="DefaultParagraphFont"/>
    <w:link w:val="Heading3"/>
    <w:uiPriority w:val="1"/>
    <w:semiHidden/>
    <w:rsid w:val="004734CD"/>
    <w:rPr>
      <w:rFonts w:ascii="Arial" w:hAnsi="Arial" w:cs="Arial"/>
      <w:b/>
      <w:bCs/>
      <w:sz w:val="19"/>
      <w:szCs w:val="19"/>
    </w:rPr>
  </w:style>
  <w:style w:type="paragraph" w:customStyle="1" w:styleId="APPENDIX">
    <w:name w:val="APPENDIX"/>
    <w:basedOn w:val="Part"/>
    <w:rsid w:val="004734CD"/>
  </w:style>
  <w:style w:type="paragraph" w:customStyle="1" w:styleId="TableHeading">
    <w:name w:val="Table Heading"/>
    <w:basedOn w:val="Normal"/>
    <w:rsid w:val="004734C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5099">
      <w:bodyDiv w:val="1"/>
      <w:marLeft w:val="0"/>
      <w:marRight w:val="0"/>
      <w:marTop w:val="0"/>
      <w:marBottom w:val="0"/>
      <w:divBdr>
        <w:top w:val="none" w:sz="0" w:space="0" w:color="auto"/>
        <w:left w:val="none" w:sz="0" w:space="0" w:color="auto"/>
        <w:bottom w:val="none" w:sz="0" w:space="0" w:color="auto"/>
        <w:right w:val="none" w:sz="0" w:space="0" w:color="auto"/>
      </w:divBdr>
    </w:div>
    <w:div w:id="1790123401">
      <w:bodyDiv w:val="1"/>
      <w:marLeft w:val="0"/>
      <w:marRight w:val="0"/>
      <w:marTop w:val="0"/>
      <w:marBottom w:val="0"/>
      <w:divBdr>
        <w:top w:val="none" w:sz="0" w:space="0" w:color="auto"/>
        <w:left w:val="none" w:sz="0" w:space="0" w:color="auto"/>
        <w:bottom w:val="none" w:sz="0" w:space="0" w:color="auto"/>
        <w:right w:val="none" w:sz="0" w:space="0" w:color="auto"/>
      </w:divBdr>
    </w:div>
    <w:div w:id="19394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0</TotalTime>
  <Pages>1</Pages>
  <Words>717</Words>
  <Characters>3611</Characters>
  <Application>Microsoft Office Word</Application>
  <DocSecurity>0</DocSecurity>
  <Lines>240</Lines>
  <Paragraphs>188</Paragraphs>
  <ScaleCrop>false</ScaleCrop>
  <HeadingPairs>
    <vt:vector size="2" baseType="variant">
      <vt:variant>
        <vt:lpstr>Title</vt:lpstr>
      </vt:variant>
      <vt:variant>
        <vt:i4>1</vt:i4>
      </vt:variant>
    </vt:vector>
  </HeadingPairs>
  <TitlesOfParts>
    <vt:vector size="1" baseType="lpstr">
      <vt:lpstr/>
    </vt:vector>
  </TitlesOfParts>
  <Company>NSW Industrial Relations Commission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Abrea</dc:creator>
  <cp:keywords/>
  <dc:description/>
  <cp:lastModifiedBy>Mary Abrea</cp:lastModifiedBy>
  <cp:revision>2</cp:revision>
  <dcterms:created xsi:type="dcterms:W3CDTF">2022-03-10T22:43:00Z</dcterms:created>
  <dcterms:modified xsi:type="dcterms:W3CDTF">2022-03-10T22:43:00Z</dcterms:modified>
</cp:coreProperties>
</file>